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https://www.autoritedelaconcurrence.fr/fr/decision-de-controle-des-concentrations/relative-la-prise-de-controle-conjoint-dun-fonds-de-40</w:t>
      </w:r>
    </w:p>
    <w:p>
      <w:r>
        <w:t>Pages translated : 2</w:t>
      </w:r>
    </w:p>
    <w:p/>
    <w:p>
      <w:r>
        <w:rPr>
          <w:b/>
        </w:rPr>
        <w:t>[Pages 1–2]</w:t>
      </w:r>
    </w:p>
    <w:p>
      <w:r>
        <w:t xml:space="preserve">FRENCH REPUBLIC  </w:t>
        <w:br/>
        <w:t xml:space="preserve">Decision No. 25-DCC-174 of July 30, 2025  </w:t>
        <w:br/>
        <w:t xml:space="preserve">regarding the joint control acquisition of a predominantly food retail business by the company Vitaldis alongside the Association of E. Leclerc Distributor Centers  </w:t>
        <w:br/>
        <w:t xml:space="preserve">The Competition Authority,  </w:t>
        <w:br/>
        <w:t xml:space="preserve">Having regard to the complete notification file sent to the mergers department on July 11, 2025, concerning the joint control acquisition of a predominantly food retail business by the company Vitaldis, alongside the Association of E. Leclerc Distributor Centers, formalized by a synallagmatic promise of sale of business assets dated July 2,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Vitaldis, alongside the Association of E. Leclerc Distributor Centers, of a retail distribution business of predominantly food products of the hypermarket type, formerly under the Auchan brand, with an area of 9,711 m², located in Epinay-Sur-Seine (93).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25-178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