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https://www.autoritedelaconcurrence.fr/fr/decision-de-controle-des-concentrations/relative-la-prise-de-controle-conjoint-dun-fonds-de-45</w:t>
      </w:r>
    </w:p>
    <w:p>
      <w:r>
        <w:t>Pages translated : 2</w:t>
      </w:r>
    </w:p>
    <w:p/>
    <w:p>
      <w:r>
        <w:rPr>
          <w:b/>
        </w:rPr>
        <w:t>[Pages 1–2]</w:t>
      </w:r>
    </w:p>
    <w:p>
      <w:r>
        <w:t xml:space="preserve">FRENCH REPUBLIC  </w:t>
        <w:br/>
        <w:t xml:space="preserve">Decision No. 25-DCC-266 of November 7, 2025  </w:t>
        <w:br/>
        <w:t>regarding the joint control acquisition of a retail business with a predominant food focus and its service station by the company Sodradis alongside the Association of E. Leclerc Distributor Centers</w:t>
      </w:r>
    </w:p>
    <w:p>
      <w:r>
        <w:t xml:space="preserve">The Competition Authority,  </w:t>
        <w:br/>
        <w:t xml:space="preserve">Having regard to the complete notification file submitted to the mergers department on October 16, 2025, concerning the joint control acquisition of a retail business with a predominant food focus and its adjoining service station by the company Sodradis alongside the Association of E. Leclerc Distributor Centers, formalized by a transfer and guarantee agreement dated August 29,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Sodradis, alongside the Association of E. Leclerc Distributor Centers, of a retail distribution business with a predominant food focus previously operating under the Netto brand, with a sales area of 1,000 m², and its adjoining service station, located in the city of Lorgues (83).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25-275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