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https://www.autoritedelaconcurrence.fr/fr/decision-de-controle-des-concentrations/relative-la-prise-de-controle-conjoint-dun-fonds-de-47</w:t>
      </w:r>
    </w:p>
    <w:p>
      <w:r>
        <w:t>Pages translated : 2</w:t>
      </w:r>
    </w:p>
    <w:p/>
    <w:p>
      <w:r>
        <w:rPr>
          <w:b/>
        </w:rPr>
        <w:t>[Pages 1–2]</w:t>
      </w:r>
    </w:p>
    <w:p>
      <w:r>
        <w:t xml:space="preserve">REPUBLIC OF FRANCE  </w:t>
        <w:br/>
        <w:t xml:space="preserve">Decision No. 25-DCC-273 of November 14, 2025  </w:t>
        <w:br/>
        <w:t>regarding the joint control acquisition of a predominantly food retail business by Sodimont alongside the Association of E. Leclerc Distributor Centers</w:t>
      </w:r>
    </w:p>
    <w:p>
      <w:r>
        <w:t>The Competition Authority,</w:t>
      </w:r>
    </w:p>
    <w:p>
      <w:r>
        <w:t>Having regard to the complete notification file submitted to the mergers department on October 17, 2025, concerning the joint control acquisition of a predominantly food retail business by Sodimont alongside the Association of E. Leclerc Distributor Centers, formalized by a letter of intent dated July 4,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Sodimont, alongside the Association of E. Leclerc Distributor Centers, of a predominantly food retail business under the Colruyt brand, with a sales area of 922 m², located in the city of Saint-Vallier (71). This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25-280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