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https://www.autoritedelaconcurrence.fr/fr/decision-de-controle-des-concentrations/relative-la-prise-de-controle-conjoint-dun-fonds-de-8</w:t>
      </w:r>
    </w:p>
    <w:p>
      <w:r>
        <w:t>Pages translated : 2</w:t>
      </w:r>
    </w:p>
    <w:p/>
    <w:p>
      <w:r>
        <w:rPr>
          <w:b/>
        </w:rPr>
        <w:t>[Pages 1–2]</w:t>
      </w:r>
    </w:p>
    <w:p>
      <w:r>
        <w:t xml:space="preserve">FRENCH REPUBLIC  </w:t>
        <w:br/>
        <w:t xml:space="preserve">Decision No. 17-DCC-54 of April 25, 2017  </w:t>
        <w:br/>
        <w:t>regarding the joint control acquisition of a predominantly food retail business by the Carrefour group and the Cohen family</w:t>
      </w:r>
    </w:p>
    <w:p>
      <w:r>
        <w:t>The Competition Authority,</w:t>
      </w:r>
    </w:p>
    <w:p>
      <w:r>
        <w:t>Having regard to the complete notification file submitted to the mergers department on April 7, 2017, concerning the joint control acquisition of a business under the Carrefour City brand in Puteaux (92) by the Carrefour group and the Cohen family, formalized by a memorandum of understanding dated March 20, 2017;</w:t>
      </w:r>
    </w:p>
    <w:p>
      <w:r>
        <w:t>Having regard to Book IV of the Commercial Code relating to the freedom of prices and competition, and in particular its Articles L. 430-1 to L. 430-7;</w:t>
      </w:r>
    </w:p>
    <w:p>
      <w:r>
        <w:t xml:space="preserve">Adopts the following decision:  </w:t>
        <w:br/>
        <w:t xml:space="preserve">1. The notified operation consists of the acquisition by the Carrefour group and the Cohen family of joint control of a predominantly food retail business under the Carrefour City brand located in Puteaux (92800). This operation constitutes a concentration operation within the meaning of Article L. 430-1 of the Commercial Code. Given the turnover achieved by the companies concerned, the operation does not fall under the jurisdiction of the European Union. On the other hand, the retail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17-060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