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https://www.autoritedelaconcurrence.fr/fr/decision-de-controle-des-concentrations/relative-la-prise-de-controle-conjoint-dun-hypermarche-sous</w:t>
      </w:r>
    </w:p>
    <w:p>
      <w:r>
        <w:t>Pages translated : 9</w:t>
      </w:r>
    </w:p>
    <w:p/>
    <w:p>
      <w:r>
        <w:rPr>
          <w:b/>
        </w:rPr>
        <w:t>[Pages 1–3]</w:t>
      </w:r>
    </w:p>
    <w:p>
      <w:r>
        <w:t xml:space="preserve">FRENCH REPUBLIC  </w:t>
        <w:br/>
        <w:t xml:space="preserve">Decision No. 14-DCC-16 of February 12, 2014  </w:t>
        <w:br/>
        <w:t xml:space="preserve">regarding the joint control of a hypermarket under the Leclerc brand by the companies Licehold and Lihold and the Association of E. Leclerc Distributors  </w:t>
        <w:br/>
        <w:t xml:space="preserve">The Competition Authority,  </w:t>
        <w:br/>
        <w:t xml:space="preserve">Having regard to the notification file sent to the merger service on December 5, 2013, declared complete on January 8, 2014, regarding the joint control of a hypermarket under the Leclerc brand by the companies Licehold and Lihold and the Association of E. Leclerc Distributors, formalized by a bilateral promise of share transfer dated November 21, 2013;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companies involved and the transaction  </w:t>
        <w:br/>
        <w:t xml:space="preserve">A. THE COMPANIES INVOLVED  </w:t>
        <w:br/>
        <w:t xml:space="preserve">1. THE TARGET COMPANY: ARRADIS  </w:t>
        <w:br/>
        <w:t>1. Arradis is a simplified joint-stock company operating, under the Leclerc brand, a retail store primarily selling food with a sales area of 2,890 m², located in Arras in the Pas-de-Calais department (62). The capital of Arradis is held at [...]% by Mr. [X].</w:t>
      </w:r>
    </w:p>
    <w:p>
      <w:r>
        <w:t xml:space="preserve">2. THE PURCHASERS: Mr. [Y] AND THE LECLERC MOVEMENT  </w:t>
        <w:br/>
        <w:t xml:space="preserve">a) The entities involved  </w:t>
        <w:br/>
        <w:t xml:space="preserve">2. The companies Lihold and Licehold are controlled by Mr. [Y] and were created for the purposes of the transaction. The capital of Licehold is majority-owned by Mr. [Y], with the remainder held by his wife, Mrs. [Z] (together, the "consorts [A]") as well as by Mrs. [B] and the companies SDSM Exploitation, Seclindis, Amandis, Rivery Exploitation, Sodiloison, and Scapartois, the latter being or representing companies operating stores under the Leclerc brand. The capital of Lihold is entirely owned by Mr. [Y]. He also controls, via the holding company Financière Dainville, the simplified joint-stock company Dainvildis (hereinafter "Dainvildis"). Dainvildis operates, under the Leclerc brand, a retail store primarily selling food with a sales area of 6,431 m², located in Dainville in the Pas-de-Calais department (62). Mr. [Y] also controls the limited liability company Dainvildis Voyages, which operates as a travel agency.  </w:t>
        <w:br/>
        <w:t xml:space="preserve">3. The Association of E.Leclerc Distributors (hereinafter, "ACDLec" or the "Leclerc association") is the strategic body of the Leclerc movement, to which all individuals managing the operating companies of Leclerc stores are members. ACDLec notably determines the conditions for approval to the Leclerc movement and signs the brand contracts that must be held by the operators of E.Leclerc retail stores.  </w:t>
        <w:br/>
        <w:t xml:space="preserve">b) The control of the entities involved  </w:t>
        <w:br/>
        <w:t xml:space="preserve">4. It is argued in the notification of the transaction that ACDLec exercises no control over Arradis either before or after the transaction. Arradis would therefore currently be exclusively controlled by Mr. [X] and the notified transaction would consist of the exclusive control of Arradis by Mr. [Y].  </w:t>
        <w:br/>
        <w:t xml:space="preserve">5. Following the transaction, Mr. [Y] will be both the majority shareholder, via the companies Licehold and Lihold, and the president of Arradis. He will therefore exercise a decisive influence over Arradis.  </w:t>
        <w:br/>
        <w:t xml:space="preserve">6. Nevertheless, as the Competition Authority has noted in previous decisions, the obligations that ACDLec imposes on the operating companies allow it to exercise a decisive influence over them. This analysis of the decisive influence exercised by ACDLec is transposable to the present transaction in light of the various contractual documents binding Arradis and ACDLec.  </w:t>
        <w:br/>
        <w:t xml:space="preserve">7. Firstly, ACDLec constitutes a company within the meaning of the provisions of Article L. 430-1 of the Commercial Code insofar as it engages in an economic activity consisting notably, according to the provisions of its statutes, of (i) defining the brand policy, (ii) protecting and promoting the sign "E.Leclerc Distributor Center," (iii) controlling either for itself or on behalf of any commercial company grouping the Leclerc distributor centers, the conditions of management of these centers or of the associated E.Leclerc centers, and (iv) contributing to the creation of any organization likely to promote the activity, solidarity, and security of its members.  </w:t>
        <w:br/>
        <w:t xml:space="preserve">8. Secondly, the holding by ACDLec of joint control over Arradis following the transaction arises from a set of indicators based notably on the possibility for ACDLec to intervene in the appointment and dismissal of the presidents of the operating companies and the members of the management committees, in the commercial policy of the operating companies, and on the transfer of shares of these companies.  </w:t>
        <w:br/>
        <w:t xml:space="preserve">The possibility to intervene in the appointment, dismissal, and exclusion of the president of Arradis, Lihold, and Licehold  </w:t>
        <w:br/>
        <w:t xml:space="preserve">9. ACDLec has a veto right over the appointment and exercise of the functions of the president of the companies Lihold, Licehold, and Arradis. The statutes of these companies provide that a "management committee" appoints and dismisses (by simple majority) the president of each of the companies, while the latter also assumes "the general management of the company." According to the statutes, the management committee "has the broadest powers to assist the President of the Company in the management of the Company."  </w:t>
        <w:br/>
        <w:t xml:space="preserve">10. It follows from these provisions that ACDLec will be able to exercise, through their management committees, control over the companies Arradis, Lihold, and Licehold. The members of the management committees are appointed from among the partners of the companies Arradis and Licehold, regardless of the number of shares they hold. In addition to Mr. [Y] and Mrs. [Z], the members of the management committees of these companies, identical for each of them, are all representatives of operating companies under the Leclerc brand linked to ACDLec by signboard contracts. Indeed, the shareholding of the companies Arradis and Licehold is composed almost exclusively of operating companies (or their representatives) of stores under the Leclerc brand that provide their endorsement to the consorts [A] within the framework of a sponsorship agreement. This agreement provides that "the sponsors" will be in the majority on the management committees of the companies Arradis, Lihold, and Licehold. Furthermore, it follows from the draft sponsorship agreement that the consorts [A] will have no influence on the evolution of the composition of the management committee insofar as they "prohibit themselves from proposing the dismissal of the 'SPONSORS' members of the Management Committee of the Companies 'LICEHOLD,' 'LIHOLD,' and 'ARRADIS,' let alone voting in favor of such dismissal."  </w:t>
        <w:br/>
        <w:t xml:space="preserve">4 The elements in the file do not, however, allow for the establishment of ACDLec's control over Arradis before the transaction, as Mr. [X] did not sign a signboard and sponsorship contract for this company. However, in the absence of consequences on the controllability of the present transaction and on the competitive analysis, this question may remain open.  </w:t>
        <w:br/>
        <w:t xml:space="preserve">5 The statutes of Arradis will remain unchanged following the transaction.  </w:t>
        <w:br/>
        <w:t xml:space="preserve">6 Article 16 of the statutes. The notifying party indicates that the "management committee" acts in this case as a "sponsorship council," as analyzed in previous decisions of the Competition Authority. The use of the terminology "management committee" or "sponsorship council" varies from one region to another.  </w:t>
        <w:br/>
        <w:t xml:space="preserve">7 Article 15 of the statutes of the companies. Scapartois, the regional supply cooperative of Leclerc, is also a partner of Arradis and Licehold.  </w:t>
        <w:br/>
        <w:t xml:space="preserve">8 It is specified that Mr. [Y] holds [...]% of the capital of Lihold, even though it remains co-managed by a management committee with the same composition as the companies Arradis and Licehold.  </w:t>
        <w:br/>
        <w:t xml:space="preserve">9 The notifying party communicates a draft sponsorship contract by which the sponsors, "in addition to their sponsorship with ACDLec, may endorse [Mr. and Mrs. [A]] with third parties and financial organizations."  </w:t>
        <w:br/>
        <w:t xml:space="preserve">10 That is, the managers of the operating companies that provided their endorsement to Mr. and Mrs. [A]: Mrs. [B] (SDSM Exploitation), Mr. [C] (Amandis), Mr. [D] (Seclindis), Mr. [E] (Sodiloison), and Mr. [F] (Rivery Exploitation).  </w:t>
        <w:br/>
        <w:t>11 Draft sponsorship contract.</w:t>
      </w:r>
    </w:p>
    <w:p>
      <w:r>
        <w:rPr>
          <w:b/>
        </w:rPr>
        <w:t>[Pages 4–6]</w:t>
      </w:r>
    </w:p>
    <w:p>
      <w:r>
        <w:t>11. More generally, only members of ACDLec (or the operating companies they manage) can operate a store under the E.Leclerc brand, join Galec or a general supply cooperative of the Leclerc movement, this status requiring holding a signboard (or brand) contract signed with ACDLec, granting the right to use the E.Leclerc brand. Since ACDLec is not obliged to grant this right to use the E.Leclerc brand, nor to justify any refusals, and since it can withdraw this right to use the E.Leclerc brand pursuant to provisions of the brand contract that give it a very wide margin of discretion, ACDLec can control the appointment of the president, as well as that of the members of the board of directors of the companies Arradis, Lihold, and Licehold.</w:t>
      </w:r>
    </w:p>
    <w:p>
      <w:r>
        <w:t>Intervention in the commercial policy of the operating companies</w:t>
      </w:r>
    </w:p>
    <w:p>
      <w:r>
        <w:t>12. ACDLec imposes, in the signboard contracts, in the charter of members of the Leclerc movement, and in directives disseminated by its regional delegates who ensure their proper application, two series of obligations. These obligations significantly limit the autonomy of members in conducting their commercial policy. In this case, these obligations will apply to Mr. [Y] as the future president of Arradis, who will conclude a signboard contract with ACDLec once the transaction is authorized.</w:t>
      </w:r>
    </w:p>
    <w:p>
      <w:r>
        <w:t>13. Firstly, the association receives communication of all documents necessary for assessing the commercial operation of the stores by their managers. Members must therefore send their balance sheet and income statement each year, as well as, monthly, the turnover of the previous month.</w:t>
      </w:r>
    </w:p>
    <w:p>
      <w:r>
        <w:t>14. Secondly, ACDLec also imposes, in the signboard contracts, obligations that grant it a decisive role in the commercial strategy of the stores. These contracts indeed provide that members cannot apply margins higher than those practiced for wholesale sales and that, in any case, members commit "never to apply a margin higher than those recommended by ACDLec." However, the setting of the margin rate is the essential element that conditions the commercial profitability of a large distribution brand. The charter of members of ACDLec expressly states that each member is required to respect the pricing policy of the Leclerc movement, which constitutes "one of the essential elements of belonging to ACDLec. (...) The average index objective to be achieved to ensure the overall competitiveness of the brand is [...]. Every member must strive to meet the set objective and, in any case, have a comprehensive index at OPUS lower than [...]. Non-compliance with this pricing rule leads to the implementation of a disciplinary procedure, a warning from ACDLec penalizes any excess, three consecutive warnings may lead to expulsion from the association." It follows that, in practice, ACDLec is indeed able to correct the commercial policy of the operating companies of Leclerc stores.</w:t>
      </w:r>
    </w:p>
    <w:p>
      <w:r>
        <w:t>15. Furthermore, the signboard contracts impose obligations on members that precisely frame their supply, investments, and social policy. Members are also required not to operate or manage any other commercial enterprise, even if it has a similar activity. In addition to these obligations imposed by ACDLec in the signboard contracts, members of ACDLec are required to comply with the obligations set forth in the charter of members of the Leclerc movement and by directives outlining the brand policy developed by the strategic committee of ACDLec, and disseminated by its regional delegates. Any failure to comply with these obligations may justify the withdrawal of the right to use the E.Leclerc brand.</w:t>
      </w:r>
    </w:p>
    <w:p>
      <w:r>
        <w:t>The possibility of intervening in the share transfers of the operating companies</w:t>
      </w:r>
    </w:p>
    <w:p>
      <w:r>
        <w:t>16. The various statutory provisions or contractual stipulations applicable make it difficult to transfer shares of the companies Arradis or Licehold to a person outside the Leclerc movement.</w:t>
      </w:r>
    </w:p>
    <w:p>
      <w:r>
        <w:t>17. Regarding share transfers by the majority shareholder, several obligations provided in the statutes of Arradis and Licehold obstruct this:</w:t>
        <w:br/>
        <w:t>- any total or partial transfer of shares held by a partner must be subject to a "prior offer of transfer" to the other partners; and</w:t>
        <w:br/>
        <w:t>- if the other partners have not expressed their intention to acquire the shares within two years after the presentation of the prior offer of transfer, the transferor may contract with a third party, subject to notifying the transfer to each of the partners, who then have a period of 30 days to indicate whether they intend to exercise their preemption right. Failing a response within this period, they are deemed to have waived their right to acquire.</w:t>
      </w:r>
    </w:p>
    <w:p>
      <w:r>
        <w:t>18. In total, it emerges from all the elements noted above, and notably from the possibility for ACDLec to intervene in the administration of the companies Arradis, Lihold, and Licehold, in the commercial policy of the companies, and on the transfer of shares of the latter, that ACDLec has the possibility to exercise a decisive influence over the companies Arradis, Lihold, and Licehold.</w:t>
      </w:r>
    </w:p>
    <w:p>
      <w:r>
        <w:t>B. THE TRANSACTION</w:t>
      </w:r>
    </w:p>
    <w:p>
      <w:r>
        <w:t>19. The transaction consists of the acquisition by Mr. [Y], via Lihold and Licehold, of [...]% of the shares of the company Arradis. Pursuant to the bilateral promise of share transfer signed on November 21, 2013, the capital of the company Arradis will be held, after completion, by [...]% by Lihold and [...]% by Licehold, the remainder being distributed among the [A] group, Mrs. [B], the companies SDSM Exploitation, Seclindis, Amandis, Rivery Exploitation, Sodiloison, and Scapartois.</w:t>
      </w:r>
    </w:p>
    <w:p>
      <w:r>
        <w:t>20. As it results in the joint control of the company Arradis by the companies Lihold and Licehold as well as ACDLec, the transaction constitutes a concentration within the meaning of Article L. 430-1 of the Commercial Code.</w:t>
      </w:r>
    </w:p>
    <w:p>
      <w:r>
        <w:t>21. The companies concerned operate retail stores and together achieve a total worldwide turnover of more than 75 million euros (Leclerc movement: [...] euros for the fiscal year ending December 31, 2013; Dainvildis: [...] euros for the fiscal year ending January 31, 2013; Arradis: [...] euros for the fiscal year ending December 31, 2012). At least two of these companies achieve a turnover in France exceeding 15 million euros in the retail sector (Leclerc movement: [...] euros for the fiscal year ending December 31, 2013; Dainvildis: [...] euros for the fiscal year ending January 31, 2013; Arradis: [...] euros for the fiscal year ending December 31, 2012). Given these turnover figures, the transaction does not have a community dimension. On the other hand, the control thresholds mentioned in II of Article L. 430-2 of the Commercial Code are exceeded. This transaction is therefore subject to the provisions of Articles L. 430-3 and following of the Commercial Code relating to economic concentrations.</w:t>
      </w:r>
    </w:p>
    <w:p>
      <w:r>
        <w:t>II. Delimitation of the relevant markets</w:t>
      </w:r>
    </w:p>
    <w:p>
      <w:r>
        <w:t>22. The markets concerned by the transaction fall within the sector of food distribution.</w:t>
      </w:r>
    </w:p>
    <w:p>
      <w:r>
        <w:t>23. According to the constant practice of national and community competition authorities, two categories of markets can be delineated in the food distribution sector. These are, on the one hand, the "downstream" markets, of local dimension, which bring together retail companies and consumers for the sale of goods.</w:t>
      </w:r>
    </w:p>
    <w:p>
      <w:r>
        <w:rPr>
          <w:b/>
        </w:rPr>
        <w:t>[Pages 7–9]</w:t>
      </w:r>
    </w:p>
    <w:p>
      <w:r>
        <w:t xml:space="preserve">consumption and, on the other hand, the "upstream" markets for supplying retail companies with consumer goods.  </w:t>
        <w:br/>
        <w:t xml:space="preserve">A. THE UPSTREAM SUPPLY MARKETS  </w:t>
        <w:br/>
        <w:t xml:space="preserve">24. Regarding the supply markets, the European Commission has recognized the existence of markets of national dimension by major product groups, a delimitation followed by national authorities.  </w:t>
        <w:br/>
        <w:t xml:space="preserve">25. There is no reason to challenge this delimitation in the context of the present transaction.  </w:t>
        <w:br/>
        <w:t xml:space="preserve">B. THE DOWNSTREAM DISTRIBUTION MARKETS  </w:t>
        <w:br/>
        <w:t xml:space="preserve">1. THE SERVICE MARKETS  </w:t>
        <w:br/>
        <w:t xml:space="preserve">26. Concerning the retail sale of consumer goods, both community and national competition authorities have distinguished six categories of commerce using several criteria, including store size, sales techniques, accessibility, the nature of the service provided, and the range of products offered: (i) hypermarkets, (ii) supermarkets, (iii) specialized trade, (iv) small retail trade, (v) large discounters, (vi) mail order sales.  </w:t>
        <w:br/>
        <w:t xml:space="preserve">27. Supermarkets are usually defined as stores with a food predominance with a legal sales area of less than 2,500 m², and hypermarkets as stores with a legal sales area of more than 2,500 m². In this case, the store operated by Arradis is a hypermarket with a sales area of 2,890 m².  </w:t>
        <w:br/>
        <w:t xml:space="preserve">28. Consequently, the competitive analysis is conducted on a market that includes only hypermarkets and on a market that includes all formats (hypermarkets, supermarkets, hard-discounters), excluding small retail stores (less than 400 m²).  </w:t>
        <w:br/>
        <w:t xml:space="preserve">2. GEOGRAPHICAL DELIMITATION  </w:t>
        <w:br/>
        <w:t xml:space="preserve">29. It emerges from decision-making practice that competition conditions are assessed in two different areas depending on the size of the stores:  </w:t>
        <w:br/>
        <w:t xml:space="preserve">- a market where consumer demand meets the supply of supermarkets and equivalent forms of commerce located within a 15-minute drive. These latter forms of commerce may include, in addition to supermarkets, hypermarkets located near consumers and discount stores;  </w:t>
        <w:br/>
        <w:t xml:space="preserve">- a second market where consumer demand from an area meets the supply of hypermarkets that they can access within a 30-minute drive and which are, from their perspective, substitutable for each other.  </w:t>
        <w:br/>
        <w:t xml:space="preserve">30. However, the attractiveness of stores of the same format may vary depending on the density and quality of the commercial equipment in an area. The socio-economic characteristics of the area in question (population density, economic activity, geography, state of the road network) may also lead to refining, in the specific case, the usual delimitations presented above.  </w:t>
        <w:br/>
        <w:t xml:space="preserve">31. In this case, the store concerned falls into the category of hypermarkets, and the competitive analysis will be conducted on both markets, one including hypermarkets located within a 30-minute radius around Arras (62) and the other including all hypermarkets, supermarkets, and large discounters located within a 15-minute catchment area around Arras (62).  </w:t>
        <w:br/>
        <w:t xml:space="preserve">III. Competitive Analysis  </w:t>
        <w:br/>
        <w:t xml:space="preserve">A. THE DOWNSTREAM DISTRIBUTION MARKETS  </w:t>
        <w:br/>
        <w:t xml:space="preserve">32. The target store is a hypermarket of 2,890 m² located in Arras in the Pas-de-Calais department (62). The hypermarket controlled before the transaction by Mr. [Y] is located in Dainville (62) and is eight minutes by car away.  </w:t>
        <w:br/>
        <w:t xml:space="preserve">33. In the market including supermarkets and equivalent forms of commerce located within a 15-minute drive around the Arras hypermarket, the stores in Arras and Dainville represent [20-30]%, and all stores under the Leclerc brand represent [30-40]% of the sales areas in the zone. In this area, the parties will face competition from several other brands, including two Auchan stores ([20-30]% of the sales areas), four Carrefour stores ([10-20]%), and two Intermarché stores ([10-20]%).  </w:t>
        <w:br/>
        <w:t xml:space="preserve">34. In the market including hypermarkets located within a 30-minute drive around the Arras hypermarket, the hypermarkets in Arras and Dainville represent [5-10]%, and all hypermarkets under the Leclerc brand represent [20-30]% of the sales areas. In this area, the parties will face competition from several other brands, including three Auchan hypermarkets ([30-40]% of the sales areas), two Carrefour hypermarkets ([10-20]%), and two Cora hypermarkets ([10-20]%).  </w:t>
        <w:br/>
        <w:t xml:space="preserve">35. It follows from the above that the transaction is not likely to harm competition in the downstream markets.  </w:t>
        <w:br/>
        <w:t xml:space="preserve">B. THE UPSTREAM SUPPLY MARKETS  </w:t>
        <w:br/>
        <w:t xml:space="preserve">36. Regarding the upstream supply markets, the transaction, which concerns only one store, is not likely to significantly strengthen the purchasing power of the Leclerc movement, across all products or by major product groups.  </w:t>
        <w:br/>
        <w:t xml:space="preserve">37. Therefore, the transaction is not likely to harm competition in either the downstream market or the upstream supply market.  </w:t>
        <w:br/>
        <w:t xml:space="preserve">DECIDES  </w:t>
        <w:br/>
        <w:t xml:space="preserve">Single Article: The transaction notified under number 13-239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