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https://www.autoritedelaconcurrence.fr/fr/decision-de-controle-des-concentrations/relative-la-prise-de-controle-conjoint-dun-hypermarche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26-DCC-90 of April 13, 2026  </w:t>
        <w:br/>
        <w:t xml:space="preserve">concerning the joint control acquisition of a hypermarket  </w:t>
        <w:br/>
        <w:t xml:space="preserve">formerly under the Casino brand and a service station by the  </w:t>
        <w:br/>
        <w:t xml:space="preserve">company Le Ponton alongside the Association of E. Leclerc Distributor Centers  </w:t>
        <w:br/>
        <w:t xml:space="preserve">The Competition Authority,  </w:t>
        <w:br/>
        <w:t xml:space="preserve">Having regard to the complete notification file sent to the mergers department on March 5, 2026,  </w:t>
        <w:br/>
        <w:t xml:space="preserve">concerning the exclusive control acquisition of a hypermarket formerly under the Casino brand and  </w:t>
        <w:br/>
        <w:t xml:space="preserve">a service station by the company Le Ponton alongside the Association of E. Leclerc Distributor Centers, formalized by a letter of interest dated January 30, 2026;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company Le Ponton, alongside  </w:t>
        <w:br/>
        <w:t xml:space="preserve">the Association of E. Leclerc Distributor Centers, of a hypermarket of 6,321 m²  </w:t>
        <w:br/>
        <w:t xml:space="preserve">formerly under the Casino brand and a service station located in the city of Saint-  </w:t>
        <w:br/>
        <w:t xml:space="preserve">Brieuc (22). The operation constitutes a concentration within the meaning of Article L. 430-1 of the Commercial Code. Given the turnover achieved by the companies concerned,  </w:t>
        <w:br/>
        <w:t xml:space="preserve">the operation does not fall under the jurisdiction of the European Union. On the other hand, the control thresholds mentioned in II of Article L. 430-2 of the Commercial Code are exceeded. This  </w:t>
        <w:br/>
        <w:t xml:space="preserve">operation is therefore subject to the 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26-056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