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https://www.autoritedelaconcurrence.fr/fr/decision-de-controle-des-concentrations/relative-la-prise-de-controle-conjoint-dun-magasin-de-0</w:t>
      </w:r>
    </w:p>
    <w:p>
      <w:r>
        <w:t>Pages translated : 12</w:t>
      </w:r>
    </w:p>
    <w:p/>
    <w:p>
      <w:r>
        <w:rPr>
          <w:b/>
        </w:rPr>
        <w:t>[Pages 1–3]</w:t>
      </w:r>
    </w:p>
    <w:p>
      <w:r>
        <w:t xml:space="preserve">FRENCH REPUBLIC  </w:t>
        <w:br/>
        <w:t xml:space="preserve">Decision No. 15-DCC-114 of September 17, 2015  </w:t>
        <w:br/>
        <w:t xml:space="preserve">regarding the joint control of a food-dominant retail store and a drive-through  </w:t>
        <w:br/>
        <w:t xml:space="preserve">by the company Mavidis  </w:t>
        <w:br/>
        <w:t>alongside the Association of E.Leclerc Distributor Centers</w:t>
      </w:r>
    </w:p>
    <w:p>
      <w:r>
        <w:t xml:space="preserve">The Competition Authority,  </w:t>
        <w:br/>
        <w:t xml:space="preserve">Having regard to the notification file sent to the concentrations service on July 23, 2015, and declared complete on August 17, 2015, regarding the joint control of a food-dominant retail store and a drive-through by the company Mavidis alongside the Association of E.Leclerc Distributor Centers, formalized by two business transfer contracts dated July 13, 2015;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A. THE CONCERNED COMPANIES  </w:t>
        <w:br/>
        <w:t xml:space="preserve">1. THE ACQUIRERS AND THE TARGET  </w:t>
        <w:br/>
        <w:t xml:space="preserve">1. Mavidis is a simplified joint-stock company that operates a hypermarket under the E.Leclerc brand, with a sales area of 5,350 m² located in Villeparisis (77). It is owned at […] % by Mr. [X] and his wife, Mrs. [X], and at […] % by the company Pandis Expansion, a company with SAS status approved by the Association of E.Leclerc Distributor Centers, owned at […] % by Mr. [X] and his wife. The spouses [X] also exercise joint control, alongside ACDLec, over the company Pandis Distribution, which operates a hypermarket under the E.Leclerc brand, with a sales area of 3,433 m² located in Pantin (93), as well as over the company Pandis Voyages, which operates a travel agency business under the Leclerc Voyages brand in Villeparisis (77).  </w:t>
        <w:br/>
        <w:t xml:space="preserve">2. The Association of E.Leclerc Distributor Centers (hereinafter "ACDLec") is the strategic body of the E.Leclerc movement, to which all individuals who manage E.Leclerc store operating companies are members. ACDLec notably determines the conditions for approval to the E.Leclerc movement and signs the brand contracts that must be held by the operators of E.Leclerc retail stores.  </w:t>
        <w:br/>
        <w:t>3. The target stores are a supermarket and a drive-through, both located on the route de Villevaudé, roundabout of June 6, 1944, in Villeparisis (77). The target supermarket, with a sales area of 915 m², is operated by the company Socofrais. The target drive-through is operated by the company Auchan France. The companies Socofrais and Auchan France are controlled by the Mulliez group.</w:t>
      </w:r>
    </w:p>
    <w:p>
      <w:r>
        <w:t xml:space="preserve">2. THE CONTROL OF THE CONCERNED ENTITIES  </w:t>
        <w:br/>
        <w:t xml:space="preserve">4. It is argued in the notification of the operation that ACDLec does not exercise any control over Mavidis and will not exercise any control over the target stores after the operation. The latter would therefore be exclusively controlled by the spouses [X], and the notified operation would consist of the exclusive control of the target store by Mavidis.  </w:t>
        <w:br/>
        <w:t xml:space="preserve">5. Nevertheless, following the operation, the business assets of the target supermarket and drive-through will be held by Mavidis, which is itself jointly controlled by ACDLec and the spouses [X]. Indeed, as the Competition Authority has noted in previous decisions1, the obligations that ACDLec imposes on the operating companies of E.Leclerc stores, such as the company Mavidis, allow it to exert a determining influence over it. This analysis of the determining influence exerted by ACDLec is transposable to the present operation in light of the various contractual documents binding Mavidis to ACDLec.  </w:t>
        <w:br/>
        <w:t xml:space="preserve">6. Firstly, ACDLec constitutes a company within the meaning of the provisions of Article L. 430-1 of the Commercial Code insofar as it carries out an economic activity consisting notably, according to the provisions of its statutes2, of (i) defining the brand policy, (ii) protecting and promoting the "E.Leclerc Distributor Center" sign, (iii) controlling either for itself or on behalf of any commercial company grouping the E.Leclerc distributor centers, the conditions of management of the latter or of the E.Leclerc centers associated with them, and (iv) contributing to the creation of any organization likely to promote the activity, solidarity, and security of its members.  </w:t>
        <w:br/>
        <w:t>7. Secondly, the holding by ACDLec of joint control over the company Mavidis before and after the operation arises from a set of indicators based notably on ACDLec's ability to intervene in the appointment and dismissal of the president of this company and the members of its management committee, in the commercial policy of the store held by the operating company and on the share transfers of the latter.</w:t>
      </w:r>
    </w:p>
    <w:p>
      <w:r>
        <w:t xml:space="preserve">The ability to intervene in the appointment and dismissal of the president of the company Mavidis  </w:t>
        <w:br/>
        <w:t xml:space="preserve">8. ACDLec has a veto right over the appointment and exercise of the functions of the president of the company Mavidis. The statutes3 of this company provide that a "management committee"4 appoints and dismisses5 by simple majority the president of the company, while the latter "is vested with the broadest powers to act in all circumstances on behalf of the company"6. The management committee "is vested with the broadest powers to assist the president in the management of the company"7 and decisions concerning several strategic issues (decisions relating to loans, decisions to take or transfer any direct or indirect interests in any companies, decisions concerning any operations relating to real estate) are made by the management committee on the proposal of the president or can only be made by the president with the authorization of the management committee. Furthermore, the latter "jointly with the president of the company, prepares at the end of the financial year, the inventory of the various elements of assets and liabilities, as well as the financial statements to be submitted to the general meeting of partners, to which it presents a management report and sets the proposals for the allocation and distribution of results to be presented to the partners"8.  </w:t>
        <w:br/>
        <w:t>9. It follows from these stipulations that ACDLec is able to exercise, through the management committee of the company Mavidis, control over the latter. The members of the management committee, in addition to the spouses [X] and the cooperative supply company Paris Nord (Scapnor), are all individuals who manage companies operating an E.Leclerc center or companies presided over by members of ACDLec, who are therefore linked to ACDLec by sign contracts. The members of the management committee also provide their endorsement to the spouses [X] within the framework of a sponsorship contract9 which indicates that, in return, the sponsored party undertakes notably "to comply with and observe in the most scrupulous manner possible, the internal rules of the Leclerc Movement whether these are determined at the national level by ACDLec or at the regional level by the Scapnor central office"10. Furthermore, the sponsorship contract provides that the spouses [X] undertake not to exert any influence on the evolution of the composition of the management committee of the company Mavidis11.</w:t>
      </w:r>
    </w:p>
    <w:p>
      <w:r>
        <w:t xml:space="preserve">3 The statutes of Mavidis will remain unchanged following the operation. These statutes correspond to the "model statutes" of simplified joint-stock companies approved by ACDLec. In accordance with the charter of E.Leclerc members, since 2002, any new member of the E.Leclerc movement must have the operating company of the store they manage adopt statutes of SAS whose model has been validated by ACDLec (charter of E.Leclerc members, page 20).  </w:t>
        <w:br/>
        <w:t xml:space="preserve">4 Article 15 of the statutes of Mavidis.  </w:t>
        <w:br/>
        <w:t xml:space="preserve">5 Article 16 of the statutes of Mavidis.  </w:t>
        <w:br/>
        <w:t xml:space="preserve">6 Article 17.2 of the statutes of Mavidis.  </w:t>
        <w:br/>
        <w:t xml:space="preserve">7 Article 1712 of the statutes of Mavidis.  </w:t>
        <w:br/>
        <w:t xml:space="preserve">8 Article 17.1 of the statutes of Mavidis.  </w:t>
        <w:br/>
        <w:t xml:space="preserve">9 The notifying parties provided the sponsorship contract signed on December 8, 2008, by the spouses [X] and their sponsors, for the operation by the company Mavidis of a hypermarket under the E.Leclerc brand, with a sales area of 5,350 m² located in Villeparisis (77). The notifying parties indicated that following the operation an amendment to this sponsorship contract would be signed, in order to mention the target supermarket and drive-through therein, and that the sponsors of Mavidis would remain the same as before the operation.  </w:t>
        <w:br/>
        <w:t xml:space="preserve">10 See page 5 of the sponsorship contract signed by the spouses [X] on December 8, 2008.  </w:t>
        <w:br/>
        <w:t>11 See page 7 of the sponsorship contract signed by the spouses [X] on December 8, 2008.</w:t>
      </w:r>
    </w:p>
    <w:p>
      <w:r>
        <w:rPr>
          <w:b/>
        </w:rPr>
        <w:t>[Pages 4–6]</w:t>
      </w:r>
    </w:p>
    <w:p>
      <w:r>
        <w:t>10. More generally, only members of ACDLec (or the operating companies they manage) can operate a store under the E.Leclerc brand, join Galec or a general supply cooperative of the E.Leclerc movement, or be a sponsor of another member of ACDLec, this status requiring the holder to have a signed signboard contract with ACDLec12, granting the right to use the E.Leclerc brand. To the extent that ACDLec is not obliged to grant this right to use the E.Leclerc brand, nor to justify any potential refusals13, and where it can withdraw this right to use the E.Leclerc brand in accordance with provisions of the brand or signboard contract that leave it a very wide margin of discretion14, ACDLec can control the appointment of the president, as well as that of the members of the management committee of the company Mavidis.</w:t>
      </w:r>
    </w:p>
    <w:p>
      <w:r>
        <w:t>Intervention in the commercial policy of operating companies</w:t>
      </w:r>
    </w:p>
    <w:p>
      <w:r>
        <w:t>11. ACDLec15 imposes, in the signboard contracts, in the charter of members of the E.Leclerc movement16 and in directives, disseminated by its regional delegates who ensure their proper application17, two series of obligations. These obligations significantly limit the autonomy of members in conducting their commercial policy. In this case, these obligations apply to Mr. [X] as president of Mavidis and signatory, with ACDLec, of a signboard contract18.</w:t>
      </w:r>
    </w:p>
    <w:p>
      <w:r>
        <w:t>12. Firstly, the association receives communication of all documents necessary for assessing the commercial operation of the stores by their managers. Members must therefore send their balance sheet and income statement each year, as well as, monthly, the turnover of the previous month19.</w:t>
      </w:r>
    </w:p>
    <w:p>
      <w:r>
        <w:t>13. Secondly, ACDLec also imposes, in the signboard contracts, obligations that confer it a determining role in the commercial strategy of the stores. These contracts indeed provide that members cannot apply margins higher than those practiced for wholesale sales and that, in any case, members commit "never to apply a margin higher than those recommended by ACDLec"20. However, the setting of the margin rate is the essential element that determines the commercial profitability of a large retail brand. The charter of ACDLec members expressly provides that each member is required to adhere to the pricing policy of the E.Leclerc movement, which constitutes "one of the essential elements of belonging to ACDLec. (...) The target average index to be achieved to ensure the overall competitiveness of the brand is 96.5. Every member must strive to meet the set target and, in any case, have a comprehensive OPUS index below 97.5. Non-compliance with this pricing rule triggers the implementation of a disciplinary procedure, with a warning from ACDLec sanctioning any breach, and three consecutive warnings may lead to expulsion from the association"21. It follows that, in practice, ACDLec is effectively able to correct the commercial policy of the operating companies of E.Leclerc stores.</w:t>
      </w:r>
    </w:p>
    <w:p>
      <w:r>
        <w:t>14. Furthermore, the brand contracts impose obligations on members that precisely frame their supply and investments22. Members are also required not to operate or manage any other commercial enterprise23, even if it has a similar activity. In addition to these obligations imposed by ACDLec in the brand contracts, members of ACDLec are required to comply with the obligations set forth in the charter of members of the E.Leclerc movement24 and by directives outlining the brand policy developed by the strategic committee of ACDLec25, and disseminated by its regional delegates26. Any failure to comply with these obligations may justify the withdrawal of the right to use the E.Leclerc brand27.</w:t>
      </w:r>
    </w:p>
    <w:p>
      <w:r>
        <w:t>The possibility of intervening in the share transfers of operating companies</w:t>
      </w:r>
    </w:p>
    <w:p>
      <w:r>
        <w:t>15. The various statutory provisions or contractual stipulations applicable make it difficult to transfer shares of Mavidis to a person outside the E.Leclerc movement.</w:t>
      </w:r>
    </w:p>
    <w:p>
      <w:r>
        <w:t>16. Regarding share transfers by the majority shareholder, several obligations provided in the statutes of Mavidis obstruct this:</w:t>
        <w:br/>
        <w:t>- any total or partial transfer of shares held by a partner must be subject to a "prior offer of sale" to the other partners28;</w:t>
        <w:br/>
        <w:t>- and if the other partners have not expressed their intention to acquire the shares within two years after the presentation of the prior transfer offer, the transferor may contract with a third party, subject to notifying the transfer to each of the partners, who then have a period of 30 days to indicate whether they intend to exercise their preemption right. Failing a response within this period, they are deemed to have waived their right to acquire the transferred shares29.</w:t>
      </w:r>
    </w:p>
    <w:p>
      <w:r>
        <w:t>17. Overall, it follows from all of the above, and notably from the possibility for ACDLec to intervene in the administration and commercial policy, as well as on the share transfers of Mavidis, that ACDLec has the ability to exert a determining influence over it and will continue to have such influence after the operation.</w:t>
      </w:r>
    </w:p>
    <w:p>
      <w:r>
        <w:t>B. THE OPERATION</w:t>
      </w:r>
    </w:p>
    <w:p>
      <w:r>
        <w:t>18. The operation, formalized by two contracts for the transfer of business assets dated July 13, 2015, consists of the acquisition by the company Mavidis, jointly controlled by Mr. and Mrs. [X] and ACDLec, of the supermarket business operated by the company Socofrais, and the drive business operated by the company Auchan France, located at the roundabout of June 6, 1944 in Villeparisis (77).</w:t>
      </w:r>
    </w:p>
    <w:p>
      <w:r>
        <w:t>19. The acquisition operations by the company Mavidis of the exclusive control of the supermarket business operated by the company Socofrais, on the one hand, and of the drive business operated by the company Auchan France, on the other hand, are interdependent operations, in that they are formalized by two contracts for the transfer of business assets dated July 13, 2015, which provide that these operations must be carried out concurrently and that they are linked by reciprocal conditionality. These operations, which result in the joint control of the target supermarket and drive by the company Mavidis alongside the Association of E.Leclerc Distributor Centers, therefore constitute a unique concentration operation within the meaning of Article L.430-1 of the Commercial Code30.</w:t>
      </w:r>
    </w:p>
    <w:p>
      <w:r>
        <w:t>20. Insofar as it results in the joint control of the target supermarket and drive by the company Mavidis alongside ACDLec, the operation constitutes a concentration within the meaning of Article L. 430-1 of the Commercial Code.</w:t>
      </w:r>
    </w:p>
    <w:p>
      <w:r>
        <w:t>21. The companies concerned operate retail stores and together achieve a total worldwide turnover excluding tax of more than 75 million euros (E.Leclerc movement: […] euros for the fiscal year ending December 31, 201431; Mr. and Mrs. [X]32: […] euros for the same fiscal year; the target stores: […] euros for the same fiscal year). At least two of these companies achieve a turnover in France exceeding 15 million euros in the retail sector (E.Leclerc movement: […] euros for the fiscal year ending December 31, 201433; Mr. and Mrs. [X]34: […] euros for the same fiscal year).</w:t>
      </w:r>
    </w:p>
    <w:p>
      <w:r>
        <w:rPr>
          <w:b/>
        </w:rPr>
        <w:t>[Pages 7–9]</w:t>
      </w:r>
    </w:p>
    <w:p>
      <w:r>
        <w:t>euros for the same fiscal year). Given these revenue figures,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concentrations.</w:t>
      </w:r>
    </w:p>
    <w:p>
      <w:r>
        <w:t>II. Delimitation of Relevant Markets</w:t>
      </w:r>
    </w:p>
    <w:p>
      <w:r>
        <w:t>22. The markets concerned by the operation fall within the sector of food-dominant distribution.</w:t>
      </w:r>
    </w:p>
    <w:p>
      <w:r>
        <w:t>23. According to the consistent practice of national and community competition authorities, two categories of markets can be delineated in the food-dominant distribution sector. These are the "downstream" markets that bring together retail companies and consumers for the sale of consumer goods, and the "upstream" supply markets where companies, as buyers, are in contact with the manufacturers of the products.</w:t>
      </w:r>
    </w:p>
    <w:p>
      <w:r>
        <w:t>A. UPSTREAM SUPPLY MARKETS</w:t>
      </w:r>
    </w:p>
    <w:p>
      <w:r>
        <w:t>1. PRODUCT MARKETS</w:t>
      </w:r>
    </w:p>
    <w:p>
      <w:r>
        <w:t>24. Regarding supply markets, the European Commission35 has recognized the existence of nationally sized markets by major product groups, a delineation followed by national authorities36.</w:t>
      </w:r>
    </w:p>
    <w:p>
      <w:r>
        <w:t>25. There is no need to call into question this delineation in the context of the present operation.</w:t>
      </w:r>
    </w:p>
    <w:p>
      <w:r>
        <w:t>2. GEOGRAPHICAL MARKETS</w:t>
      </w:r>
    </w:p>
    <w:p>
      <w:r>
        <w:t>26. From a geographical perspective, the consistent decision-making practice of competition authorities considers that supply markets are of national dimension37.</w:t>
      </w:r>
    </w:p>
    <w:p>
      <w:r>
        <w:t>27. There is no need to call into question the decision-making practice within the framework of the present operation.</w:t>
      </w:r>
    </w:p>
    <w:p>
      <w:r>
        <w:t>B. B. DOWNSTREAM MARKETS OF RETAIL DISTRIBUTION WITH A FOOD DOMINANCE</w:t>
      </w:r>
    </w:p>
    <w:p>
      <w:r>
        <w:t>1. PRODUCT MARKETS</w:t>
      </w:r>
    </w:p>
    <w:p>
      <w:r>
        <w:t>28. Regarding the retail sale of everyday consumer goods, decision-making practice38 distinguishes six categories of retail trade of everyday consumer goods, using several criteria, including the size of the stores, their sales techniques, their accessibility, the nature of the service provided, and the breadth of the product ranges offered: (i) hypermarkets (food-dominant stores with a legal sales area exceeding 2,500 m²), (ii) supermarkets (between 400 and 2,500 m²), (iii) specialized trade, (iv) small retail trade (less than 400 m²), (v) maxi-discount stores, (vi) mail order sales.</w:t>
      </w:r>
    </w:p>
    <w:p>
      <w:r>
        <w:t>29. However, decision-making practice specifies that the size thresholds should be used with caution and may be adapted to the specific case, as stores whose size is close to a threshold, whether below or above, may be in direct competition with stores of another category.</w:t>
      </w:r>
    </w:p>
    <w:p>
      <w:r>
        <w:t>30. Competition authorities consider that, while each category of store retains its specificity, there is asymmetric competition between certain of these categories. For the province and the nearby suburbs of Paris, they thus distinguish39: (i) a market comprising only hypermarkets, and (ii) a market comprising supermarkets and equivalent forms of trade (hypermarkets, hard-discount, and popular stores) excluding small retail trade (less than 400 m²).</w:t>
      </w:r>
    </w:p>
    <w:p>
      <w:r>
        <w:t>31. In this case, the supermarket operated by the company Socofrais under the Arcimbo brand before the operation is a supermarket with a sales area of 915 m². The operation will therefore be analyzed in the market for supermarkets and equivalent forms of trade.</w:t>
      </w:r>
    </w:p>
    <w:p>
      <w:r>
        <w:t>32. Furthermore, the decision-making practice of the Competition Authority considers that two segments can be identified within the distance selling of food products: (i) home delivery and (ii) the permanent pick-up point (hereinafter "drive") where the consumer goes to the store to collect an order placed online40.</w:t>
      </w:r>
    </w:p>
    <w:p>
      <w:r>
        <w:t>33. While the Competition Authority has noted that the drive exerted little competitive pressure on physical sales points in Paris41, it has left open the question of the existence of a specific market for drives or their inclusion in the hypermarket market42.</w:t>
      </w:r>
    </w:p>
    <w:p>
      <w:r>
        <w:t>34. The decision-making practice43 has considered distinguishing drives attached to physical sales points from isolated drives dedicated to drive activity. It has concluded that isolated drives would compete with hypermarkets and should be treated as physical sales points, while attached drives would represent a complementary service offered to customers by the stores, which would help to enhance their loyalty.</w:t>
      </w:r>
    </w:p>
    <w:p>
      <w:r>
        <w:t>35. It appears that the offerings of hypermarkets and drives are partially comparable. The instruction notably notes that while the prices charged are identical, the offering of traditional fresh products is often more limited in drives, and the average shopping basket there is significantly higher. Private label brands would also be more represented in drives than in physical sales points.</w:t>
      </w:r>
    </w:p>
    <w:p>
      <w:r>
        <w:t>36. In this case, both the target supermarket and the drive are located at the roundabout of June 6, 1944 in Villeparisis (77).</w:t>
      </w:r>
    </w:p>
    <w:p>
      <w:r>
        <w:t>37. The question of the existence of a specific market for drives or their inclusion in the hypermarket market can, however, be left open, as the conclusions of the competitive analysis will remain unchanged, regardless of the hypothesis considered.</w:t>
      </w:r>
    </w:p>
    <w:p>
      <w:r>
        <w:t>2. GEOGRAPHICAL MARKETS</w:t>
      </w:r>
    </w:p>
    <w:p>
      <w:r>
        <w:t>38. It emerges from decision-making practice44 that the conditions of competition are assessed over two different areas depending on the size of the stores:</w:t>
        <w:br/>
        <w:t>- a market where the demand from consumers meets the supply of supermarkets and equivalent forms of trade located within 15 minutes of driving time. These latter forms of trade may include, in addition to supermarkets, hypermarkets located near consumers and discount stores;</w:t>
        <w:br/>
        <w:t>- a second market where the demand from consumers in one area meets the supply of hypermarkets that they can access within 30 minutes of driving time and which are, from their perspective, substitutable for one another.</w:t>
      </w:r>
    </w:p>
    <w:p>
      <w:r>
        <w:t>39. However, the attractiveness of stores of the same format may vary depending on the density and quality of the commercial equipment in an area. The socio-economic characteristics of the area concerned (population density, economic activity, geography, state of the road network) may also lead to refining, in specific cases, the usual delineations presented above. The presence of drives in the catchment area may be taken into account qualitatively.</w:t>
      </w:r>
    </w:p>
    <w:p>
      <w:r>
        <w:rPr>
          <w:b/>
        </w:rPr>
        <w:t>[Pages 10–12]</w:t>
      </w:r>
    </w:p>
    <w:p>
      <w:r>
        <w:t>40. The Authority45 noted that certain characteristics of large provincial cities46 and cities in the immediate suburbs of Paris (population density, traffic conditions) could justify considering smaller catchment areas for hypermarkets and supermarkets. It thus analyzed the effects of the operation both in areas corresponding to the decision-making practice applicable to the rest of the national territory and in more restricted areas, corresponding to a travel time of 10 minutes by car around target supermarkets47 and in areas corresponding to a travel time of 20 minutes when it came to hypermarkets.</w:t>
      </w:r>
    </w:p>
    <w:p>
      <w:r>
        <w:t>41. The question of the exact delineation of the relevant markets in large provincial cities and cities in the immediate suburbs of Paris can be left open insofar as, regardless of the segmentation considered, the conclusions of the competitive analysis will remain unchanged.</w:t>
      </w:r>
    </w:p>
    <w:p>
      <w:r>
        <w:t>42. In this case, the target point of sale operated by Socofrais falls within the category of supermarkets and is located in Villeparisis (77), the competitive analysis will be conducted on the market including all hypermarkets, supermarkets, and equivalent forms of trade located in catchment areas of 15 minutes and 10 minutes around the target point of sale.</w:t>
      </w:r>
    </w:p>
    <w:p>
      <w:r>
        <w:t>43. Regarding the potential market for drive-throughs, the decision-making practice considered that the catchment area associated with an isolated drive-through could be delineated based on a minimum travel time of 15 minutes by car and a maximum travel time of 30 minutes by car.</w:t>
      </w:r>
    </w:p>
    <w:p>
      <w:r>
        <w:t>44. The question of the exact geographical delineation of the market can, however, be left open insofar as, regardless of the geographical delineation retained, the conclusions of the competitive analysis will remain unchanged.</w:t>
      </w:r>
    </w:p>
    <w:p>
      <w:r>
        <w:t>III. Competitive Analysis</w:t>
      </w:r>
    </w:p>
    <w:p>
      <w:r>
        <w:t>A. UPSTREAM MARKETS OF SUPPLY</w:t>
      </w:r>
    </w:p>
    <w:p>
      <w:r>
        <w:t>45. Regarding the upstream supply markets, the operation concerns only one supermarket and one drive-through, with a total cumulative purchase amount of […] euros, which represents less than [0-5]% of the supply market. The purchasing power of the E.Leclerc movement is therefore not likely to be strengthened, across all products as well as by product categories, due to the operation.</w:t>
      </w:r>
    </w:p>
    <w:p>
      <w:r>
        <w:t>46. Consequently, the operation is not likely to harm competition in the upstream supply market.</w:t>
      </w:r>
    </w:p>
    <w:p>
      <w:r>
        <w:t>45 See the decisions of the Competition Authority n°13-DCC-90 and n°14-DCC-196 mentioned above.</w:t>
      </w:r>
    </w:p>
    <w:p>
      <w:r>
        <w:t>46 Bordeaux, Nantes, Rennes, Lille, Strasbourg, Marseille, Toulouse, Nice, Montpellier, and Lyon.</w:t>
      </w:r>
    </w:p>
    <w:p>
      <w:r>
        <w:t>47 The Authority also analyzed the effects of the operation in these cities in areas corresponding to a travel time of 20 minutes by car around the target stores when it came to hypermarkets. There is no target hypermarket in this case.</w:t>
      </w:r>
    </w:p>
    <w:p>
      <w:r>
        <w:t>B. DOWNSTREAM MARKETS OF DISTRIBUTION</w:t>
      </w:r>
    </w:p>
    <w:p>
      <w:r>
        <w:t>a) Regarding the target supermarket</w:t>
      </w:r>
    </w:p>
    <w:p>
      <w:r>
        <w:t>47. In the market including supermarkets and equivalent forms of trade located within a 15 or 10-minute drive around the target supermarket in Villeparisis, the target store represents less than [0-5]% of the sales areas, and other E.Leclerc points of sale represent less than [5-10]% of the sales areas, resulting in a cumulative market share between [5-10]% and [10-20]%. The parties will face competition from several competing brands, including Carrefour (which represents between [30-40]% and [40-50]% of the areas in the zones corresponding to 15 and 10 minutes of travel, respectively), Casino (between [5-10]% and [10-20]%), and Intermarché (between [10-20]% and [10-20]%).</w:t>
        <w:br/>
        <w:t xml:space="preserve"> </w:t>
        <w:br/>
        <w:t>b) Regarding the target drive-through</w:t>
      </w:r>
    </w:p>
    <w:p>
      <w:r>
        <w:t>48. To calculate the market shares of physical points of sale in a given catchment area, competition authorities traditionally use the sales area of the stores in the area.</w:t>
      </w:r>
    </w:p>
    <w:p>
      <w:r>
        <w:t>49. However, the decision-making practice considers that this approach is not suitable for drive-throughs, which have very little sales area. The same applies to the storage areas of drive-throughs, which are not representative of their commercial potential.</w:t>
      </w:r>
    </w:p>
    <w:p>
      <w:r>
        <w:t>50. For the purposes of this decision, the analysis will be conducted based on the number of points of sale present in the considered catchment area.</w:t>
      </w:r>
    </w:p>
    <w:p>
      <w:r>
        <w:t>51. In a 30-minute drive around the target drive-through in Villeparisis, 17 isolated drive-throughs are present, including 12 under the E.Leclerc brand, two under the Carrefour brand, two under the Chronodrive brand, and one under the Casino brand. Adding the attached drive-throughs, there are 67 drive-throughs in this area. The target drive-through represents [0-5]% of the drive-throughs, and the other E.Leclerc drive-throughs represent [20-30]%, resulting in a cumulative market share of [20-30]%. These stores will face competition from five different brands: Casino ([10-20]%), Intermarché ([10-20]%), and Carrefour ([10-20]%).</w:t>
      </w:r>
    </w:p>
    <w:p>
      <w:r>
        <w:t>52. In a 15-minute drive around the target drive-through in Villeparisis, five isolated drive-throughs are present, including four under the E.Leclerc brand and one under the Casino brand. Adding the attached drive-throughs, there are 16 drive-throughs in this area. The target drive-through represents [5-10]% of the drive-throughs, and the other E.Leclerc drive-throughs represent [20-30]%, resulting in a cumulative market share of [30-40]%. In the area, these stores will face competition from six different brands, including: Casino ([10-20]%), Carrefour ([10-20]%), and Intermarché ([10-20]%).</w:t>
      </w:r>
    </w:p>
    <w:p>
      <w:r>
        <w:t>53. Consequently, the operation is not likely to harm competition in a potential distinct market for drive-throughs.</w:t>
      </w:r>
    </w:p>
    <w:p>
      <w:r>
        <w:t>54. In the market integrating drive-throughs and hypermarkets, in a 30-minute drive around the target drive-through in Villeparisis, 111 points of sale are present in the area. The target drive-through thus represents [0-5]% of this market, while the other E.Leclerc points of sale (16 hypermarkets and 16 drive-throughs) represent [20-30]% of the points of sale in the area.</w:t>
      </w:r>
    </w:p>
    <w:p>
      <w:r>
        <w:t>55. In a 30-minute drive around the target drive-through in Villeparisis, including isolated drive-throughs, hypermarkets, and supermarkets, the parties noted the presence of more than 600 points of sale. Among these, 16 E.Leclerc hypermarkets, 16 E.Leclerc drive-throughs, the target supermarket, and the target drive-through are present in the area and represent [5-10]% of the points of sale in the area. The target drive-through represents less than [0-5]% of the points of sale in the area.</w:t>
      </w:r>
    </w:p>
    <w:p>
      <w:r>
        <w:t>56. Consequently, the operation is not likely to harm competition in the downstream markets of food distribution.</w:t>
      </w:r>
    </w:p>
    <w:p>
      <w:r>
        <w:t>DECIDES</w:t>
      </w:r>
    </w:p>
    <w:p>
      <w:r>
        <w:t>Sole Article: The operation notified under number 15-130 is authorized.</w:t>
      </w:r>
    </w:p>
    <w:p>
      <w:r>
        <w:t>The President,</w:t>
        <w:br/>
        <w:t>Bruno Lasserre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