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https://www.autoritedelaconcurrence.fr/fr/decision-de-controle-des-concentrations/relative-la-prise-de-controle-conjoint-dun-magasin-de-1</w:t>
      </w:r>
    </w:p>
    <w:p>
      <w:r>
        <w:t>Pages translated : 9</w:t>
      </w:r>
    </w:p>
    <w:p/>
    <w:p>
      <w:r>
        <w:rPr>
          <w:b/>
        </w:rPr>
        <w:t>[Pages 1–3]</w:t>
      </w:r>
    </w:p>
    <w:p>
      <w:r>
        <w:t xml:space="preserve">FRENCH REPUBLIC  </w:t>
        <w:br/>
        <w:t xml:space="preserve">Decision No. 15-DCC-117 of September 17, 2015  </w:t>
        <w:br/>
        <w:t xml:space="preserve">regarding the joint control of a retail store predominantly focused on food by the company Eper-Dis  </w:t>
        <w:br/>
        <w:t xml:space="preserve">alongside the Association of E.Leclerc Distributor Centers  </w:t>
        <w:br/>
        <w:t xml:space="preserve">The Competition Authority,  </w:t>
        <w:br/>
        <w:t xml:space="preserve">Having regard to the notification file sent to the concentrations service on July 31, 2015, and declared complete on August 20, 2015, regarding the joint control of a retail store predominantly focused on food by the company Eper-Dis alongside the Association of E.Leclerc Distributor Centers, formalized by a bilateral promise of transfer of business assets dated June 24,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A. THE CONCERNED COMPANIES  </w:t>
        <w:br/>
        <w:t xml:space="preserve">1. THE ACQUIRERS AND THE TARGET  </w:t>
        <w:br/>
        <w:t xml:space="preserve">1. Eper-Dis is a simplified joint-stock company that operates a hypermarket under the E.Leclerc brand, with a surface area of 5,900 m² located in Dizy (51), and a supermarket under the E.Leclerc brand with a surface area of 843 m², located in Ay (51). It is owned at […] % by Mr. and Mrs. [X]. Eper-Dis controls the company Sparnadrive which operates two drive-throughs adjacent to the E.Leclerc stores in Dizy and Ay, operated by Eper-Dis.  </w:t>
        <w:br/>
        <w:t xml:space="preserve">2. The Association of E.Leclerc Distributor Centers (hereinafter "ACDLec") is the strategic body of the E.Leclerc movement, to which all individuals who manage the operating companies of E.Leclerc stores are members. ACDLec notably determines the conditions for approval to the E.Leclerc movement and signs the brand contracts which must be held by the operators of E.Leclerc retail stores.  </w:t>
        <w:br/>
        <w:t xml:space="preserve">3. The target store is a supermarket, operated under the Simply Market brand, located in Dormans (51). It includes a retail business predominantly focused on food, with a sales area of 1,098 m², owned by the company Atac, as well as a retail fuel business under the Simply Market brand, owned by the company Parea. The companies Atac and Parea are controlled by the Mulliez group.  </w:t>
        <w:br/>
        <w:t xml:space="preserve">2. CONTROL OF THE CONCERNED ENTITIES  </w:t>
        <w:br/>
        <w:t xml:space="preserve">4. It is asserted in the notification of the operation that ACDLec does not exercise any control over Eper-Dis and will not exercise any control over the target store after the operation. The latter would therefore be exclusively controlled by Mr. and Mrs. [X] and the notified operation would consist of the exclusive control of the target store by Eper-Dis.  </w:t>
        <w:br/>
        <w:t xml:space="preserve">5. Nevertheless, following the operation, the business assets of the supermarket and service station of the target store will be held by Eper-Dis, which is itself jointly controlled by ACDLec and Mr. and Mrs. [X]. Indeed, as the Competition Authority has noted in previous decisions, the obligations that ACDLec imposes on the operating companies of E.Leclerc stores, such as Eper-Dis, allow it to exercise a determining influence over it. This analysis of the determining influence exercised by ACDLec is transposable to the present operation in light of the various contractual documents binding Eper-Dis to ACDLec.  </w:t>
        <w:br/>
        <w:t xml:space="preserve">6. Firstly, ACDLec constitutes a company within the meaning of the provisions of Article L. 430-1 of the Commercial Code insofar as it engages in an economic activity consisting notably, according to the provisions of its statutes, in (i) defining the brand policy, (ii) protecting and promoting the signboard "E.Leclerc Distributor Center," (iii) controlling either for itself or on behalf of any commercial company grouping the E.Leclerc distributor centers, the conditions of management of the latter or of the associated E.Leclerc centers, and (iv) contributing to the creation of any organization likely to promote the activity, solidarity, and security of its members.  </w:t>
        <w:br/>
        <w:t xml:space="preserve">7. Secondly, the holding by ACDLec of joint control over the company Eper-Dis before and after the operation arises from a set of indicators based notably on ACDLec's ability to intervene in the appointment and dismissal of the president of this company and the members of its sponsorship council, in the commercial policy of the store held by the operating company, and in the share transfers of the latter.  </w:t>
        <w:br/>
        <w:t xml:space="preserve">1 See the decisions of the Competition Authority No. 12-DCC-125 of August 27, 2012, regarding the joint control of 28 retail stores predominantly focused on food by the Union of Alsace Cooperators and the Association of E.Leclerc Distributor Centers, No. 13-DCC-12 of January 28, 2013, regarding the joint control of the companies Nobladis and Sodirev by the Cornac group and the Association of E.Leclerc Distributor Centers, No. 13-DCC-112 of August 19, 2013, regarding the exclusive control of the company Hypercoop by the Association of E.Leclerc Distributor Centers, No. 14-DCC-16 of February 12, 2014, regarding the joint control of a hypermarket under the E.Leclerc brand by the companies Licehold, Lihold, and the Association of E.Leclerc Distributor Centers, No. 14-DCC-144, regarding the joint control of the company Phalsdis by the company Holding Sarredis alongside the Association of E.Leclerc Distributor Centers, No. 14-DCC-196 of December 24, 2014, regarding the joint control of a retail store predominantly focused on food by the company Blanc Mesnil Distribution alongside the Association of E.Leclerc Distributor Centers.  </w:t>
        <w:br/>
        <w:t xml:space="preserve">2 See the provisions of Article 1 of the statutes of ACDLec.  </w:t>
        <w:br/>
        <w:t>2</w:t>
      </w:r>
    </w:p>
    <w:p>
      <w:r>
        <w:t xml:space="preserve">The ability to intervene in the appointment and dismissal of the president of the company Eper-Dis  </w:t>
        <w:br/>
        <w:t xml:space="preserve">8. ACDLec has a veto right over the appointment and exercise of the functions of the president of the company Eper-Dis. The statutes of this company provide that a "sponsorship council" appoints, by simple majority, and dismisses, by unanimous decision of the council members, the president of the company, while the latter "assumes the general management of the company." The sponsorship council "is vested with the power to control the management of the company" and decisions regarding several strategic issues (decisions relating to loans, decisions to take or transfer any direct or indirect interests in any companies, decisions regarding any real estate operations) can only be made by the president with the authorization of the sponsorship council. Furthermore, the latter "may require at any time during the life of the company that the President submit for its consideration: the budgets of the company; the documents of prospective management; the interim situations."  </w:t>
        <w:br/>
        <w:t xml:space="preserve">9. It follows from these stipulations that ACDLec is able to exercise, through the sponsorship council of the company Eper-Dis, control over the latter. The members of the sponsorship council, in addition to Mr. and Mrs. [X] and the cooperative supply company Paris Est (Scapest), are all individuals who manage companies operating an E.Leclerc center, and are therefore linked to ACDLec by signboard or brand contracts. The members of the sponsorship council also provide their endorsement to Mr. and Mrs. [X] within the framework of a sponsorship agreement which indicates that, in return, the sponsored party undertakes notably "to apply in the most scrupulous manner all directives given by the Leclerc Movement." Furthermore, the sponsorship agreement does not provide that Mr. and Mrs. [X] will have any influence over the evolution of the composition of the sponsorship council of the company Eper-Dis.  </w:t>
        <w:br/>
        <w:t xml:space="preserve">10. More generally, only members of ACDLec (or the operating companies they manage) can operate a store under the E.Leclerc brand, join Galec or a general supply cooperative of the E.Leclerc movement, or be a sponsor of another member of ACDLec, this status implying that one must hold a signboard (or brand) contract signed with ACDLec, granting the right to use the E.Leclerc brand. Insofar as ACDLec is not obliged to grant this right to use the E.Leclerc brand, nor to justify any potential refusals, and where it can withdraw this right to use,  </w:t>
        <w:br/>
        <w:t xml:space="preserve">3 The statutes of Eper-Dis will remain unchanged following the operation. These statutes correspond to the "standard statutes" of simplified joint-stock companies approved by ACDLec (charter of members of the E.Leclerc movement, page 20).  </w:t>
        <w:br/>
        <w:t xml:space="preserve">4 Article 14 of the statutes of Eper-Dis.  </w:t>
        <w:br/>
        <w:t xml:space="preserve">5 Article 16.1, 15.4, and 13.9 of the statutes of Eper-Dis.  </w:t>
        <w:br/>
        <w:t xml:space="preserve">6 Article 13.3 of the statutes of Eper-Dis.  </w:t>
        <w:br/>
        <w:t xml:space="preserve">7 Article 16.2 of the statutes of Eper-Dis.  </w:t>
        <w:br/>
        <w:t xml:space="preserve">8 Article 16.3 of the statutes of Eper-Dis.  </w:t>
        <w:br/>
        <w:t xml:space="preserve">9 The notifying parties provided the sponsorship agreement and its amendments, signed by Mr. and Mrs. [X] and their sponsors, for the operation of a hypermarket in Dizy (51), a supermarket in Ay (51), and two drive-throughs adjacent to these stores. The notifying parties indicated that an amendment to this sponsorship agreement would be signed following the operation, with the sponsors of Eper-Dis to mention the acquisition of the targets. The parties specified that the sponsors of Mr. and Mrs. [X] would remain the same as before the operation.  </w:t>
        <w:br/>
        <w:t xml:space="preserve">10 See page 6 of the sponsorship agreement signed by Mr. and Mrs. [X].  </w:t>
        <w:br/>
        <w:t xml:space="preserve">11 Article 6 of the statutes of ACDLec notably provides that "membership in the association necessarily involves signing the contract whose terms have been determined by the board of directors and which defines the conditions for the allocation of the signboard E.Leclerc Distributor Center to the member."  </w:t>
        <w:br/>
        <w:t xml:space="preserve">12 The statutes of ACDLec only mention, in this regard, conditions precedent to membership, without ACDLec being obliged to grant the right to use the E.Leclerc brand if these conditions are met. The same applies to the charter of members of the E.Leclerc movement, which also only mentions conditions precedent to membership.  </w:t>
        <w:br/>
        <w:t>3</w:t>
      </w:r>
    </w:p>
    <w:p>
      <w:r>
        <w:rPr>
          <w:b/>
        </w:rPr>
        <w:t>[Pages 4–6]</w:t>
      </w:r>
    </w:p>
    <w:p>
      <w:r>
        <w:t xml:space="preserve">of the E.Leclerc brand under the provisions of the brand or signboard contract which grant it a very wide margin of discretion, ACDLec can control the appointment of the president, as well as the members of the sponsorship council of the company Eper-Dis. Intervention in the commercial policy of operating companies.  </w:t>
        <w:br/>
        <w:t xml:space="preserve">11. ACDLec imposes, in the signboard contracts, in the charter of members of the E.Leclerc movement, and in directives disseminated by its regional delegates who ensure their proper application, two sets of obligations. These obligations significantly limit the autonomy of members in conducting their commercial policy. In this case, these obligations are imposed on Mr. [X] as president of Eper-Dis and signatory, with ACDLec, of a signboard contract.  </w:t>
        <w:br/>
        <w:t xml:space="preserve">12. Firstly, the association receives communication of all documents necessary for the assessment of the commercial operation of the stores by their managers. Members must therefore submit their balance sheet and income statement each year, as well as, monthly, the turnover of the previous month.  </w:t>
        <w:br/>
        <w:t xml:space="preserve">13. Secondly, ACDLec also imposes, in the signboard contracts, obligations that confer it a determining role in the commercial strategy of the stores. These contracts indeed stipulate that members cannot apply margins higher than those practiced for wholesale sales and that, in any case, members commit "never to apply a margin higher than those recommended by ACDLec." However, the setting of the margin rate is the essential element that conditions the commercial profitability of a retail brand. The charter of members of ACDLec expressly states that each member is required to respect the pricing policy of the E.Leclerc movement, which constitutes "one of the essential elements of belonging to ACDLec. (...) The average index objective to be achieved to ensure the overall competitiveness of the brand is [...]. Every member must strive towards the set objective and, in any case, have a comprehensive index at OPUS lower than [...]. Non-compliance with this pricing rule leads to the implementation of a disciplinary procedure; a warning from ACDLec penalizes any excess, three consecutive warnings may lead to expulsion from the association." It follows that, in practice, ACDLec is indeed able to correct the commercial policy of E.Leclerc store operating companies.  </w:t>
        <w:br/>
        <w:t xml:space="preserve">14. Furthermore, the brand contracts impose on members obligations that precisely frame their supply and investments. Members are also required not to operate or manage any other commercial enterprise, even if it has a similar activity. In addition to these obligations imposed by ACDLec in the brand contracts, members of ACDLec are required to comply with the obligations set forth in the charter of members of the E.Leclerc movement and by directives outlining the brand policy developed by the strategic committee of ACDLec, and disseminated by its regional delegates. Any breach of these obligations may justify the withdrawal of the right to use the E.Leclerc brand.  </w:t>
        <w:br/>
        <w:t xml:space="preserve">The possibility of intervening in the share transfers of operating companies  </w:t>
        <w:br/>
        <w:t xml:space="preserve">15. The various statutory provisions or contractual stipulations applicable make it difficult to transfer shares of Eper-Dis to a person outside the E.Leclerc movement.  </w:t>
        <w:br/>
        <w:t xml:space="preserve">16. Regarding share transfers by the majority shareholder, several obligations provided in the statutes of Eper-Dis obstruct this:  </w:t>
        <w:br/>
        <w:t xml:space="preserve">- any total or partial transfer of shares held by a partner must be subject to a "prior sale offer" to the other partners; and  </w:t>
        <w:br/>
        <w:t xml:space="preserve">- if the other partners have not expressed their intention to acquire the shares within two years after the presentation of the prior transfer offer, the transferor may contract with a third party, subject to notifying the transfer to each of the partners, who then have a period of 30 days to indicate whether they intend to exercise their right of preemption. Failing a response within this period, they are deemed to have waived their right to acquire the transferred shares.  </w:t>
        <w:br/>
        <w:t xml:space="preserve">17. Overall, it follows from all of the above, and notably from the possibility for ACDLec to intervene in the administration and commercial policy, as well as in the share transfers of Eper-Dis, that ACDLec has the ability to exert a determining influence over it and will continue to have such influence after the transaction.  </w:t>
        <w:br/>
        <w:t xml:space="preserve">B. THE TRANSACTION  </w:t>
        <w:br/>
        <w:t xml:space="preserve">18. The transaction, formalized by a bilateral promise of transfer of business assets dated June 24, 2015, involves the acquisition by the company Eper-Dis, jointly controlled by Mr. and Mrs. [X] and ACDLec, of the supermarket and service station business assets of the target store, operated under the Simply Market brand in Dormans (51).  </w:t>
        <w:br/>
        <w:t xml:space="preserve">19. The acquisition transactions by the company Eper-Dis of the exclusive control of the supermarket business assets operated by the company Atac, on the one hand, and the service station business assets operated by the company Parea, on the other hand, are interdependent transactions, insofar as they are formalized by a single bilateral promise, which stipulates that they must be carried out concurrently and that they are linked by reciprocal conditionality. These transactions, which result in the joint control of the supermarket and service station business assets of the target store by the company Eper-Dis alongside ACDLec, therefore constitute a unique concentration operation within the meaning of Article L.430-1 of the Commercial Code.  </w:t>
        <w:br/>
        <w:t xml:space="preserve">20. Insofar as it results in the joint control of the target store by the company Eper-Dis alongside ACDLec, the operation constitutes a concentration within the meaning of Article L. 430-1 of the Commercial Code.  </w:t>
        <w:br/>
        <w:t>21. The companies concerned operate retail stores and together achieve a total worldwide turnover excluding tax of more than 75 million euros (E.Leclerc movement: […] euros for the fiscal year ending December 31, 2014; Mr. and Mrs. [X]: […] euros for the fiscal year ending January 31, 2015; the target store: […] euros for the fiscal year ending May 31, 2015). At least two of these companies achieve a turnover in France exceeding 15 million euros in the retail sector (E.Leclerc movement: […] euros for the fiscal year ending December 31, 2014; Mr. and Mrs. [X]: […] euros for the fiscal year ending January 31, 2015).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concentrations.</w:t>
      </w:r>
    </w:p>
    <w:p>
      <w:r>
        <w:rPr>
          <w:b/>
        </w:rPr>
        <w:t>[Pages 7–9]</w:t>
      </w:r>
    </w:p>
    <w:p>
      <w:r>
        <w:t xml:space="preserve">II. DELIMITATION OF RELEVANT MARKETS  </w:t>
        <w:br/>
        <w:t xml:space="preserve">A. UPSTREAM SUPPLY MARKETS  </w:t>
        <w:br/>
        <w:t xml:space="preserve">1. PRODUCT MARKETS  </w:t>
        <w:br/>
        <w:t xml:space="preserve">22. With regard to supply markets, the European Commission has identified the existence of national markets by major product groups, a delimitation followed by national authorities.  </w:t>
        <w:br/>
        <w:t xml:space="preserve">23. There is no reason to challenge this delimitation in the context of the present transaction.  </w:t>
        <w:br/>
        <w:t xml:space="preserve">2. GEOGRAPHICAL MARKETS  </w:t>
        <w:br/>
        <w:t xml:space="preserve">24. From a geographical perspective, the consistent decision-making practice of competition authorities considers that supply markets are of national dimension.  </w:t>
        <w:br/>
        <w:t xml:space="preserve">25. There is no reason to challenge the decision-making practice in the context of the present transaction.  </w:t>
        <w:br/>
        <w:t xml:space="preserve">B. DOWNSTREAM MARKETS FOR FOOD-RELATED RETAIL DISTRIBUTION  </w:t>
        <w:br/>
        <w:t xml:space="preserve">1. PRODUCT MARKETS  </w:t>
        <w:br/>
        <w:t xml:space="preserve">26. With regard to the retail sale of everyday consumer goods, the decision-making practice distinguishes six categories of retail trade in everyday consumer goods, using several criteria, including store size, sales techniques, accessibility, the nature of the service provided, and the range of products offered: (i) hypermarkets (food-dominant stores with a legal sales area exceeding 2,500 m²), (ii) supermarkets (between 400 and 2,500 m²), (iii) specialized trade, (iv) small retail trade (less than 400 m²), (v) maxi-discounters, (vi) mail order sales. However, the decision-making practice specifies that the size thresholds should be used with caution and may be adapted to the specific case, as stores whose size is near a threshold, either below or above, may be in direct competition with stores of another category.  </w:t>
        <w:br/>
        <w:t xml:space="preserve">27. Competition authorities consider that, while each category of store retains its specificity, there is asymmetric competition between certain of these categories. For the province, they thus distinguish: (i) a market comprising only hypermarkets, and (ii) a market comprising supermarkets and equivalent forms of trade (hypermarkets, hard-discount, and popular stores) excluding small retail trade (less than 400 m²).  </w:t>
        <w:br/>
        <w:t xml:space="preserve">28. In this case, the target point of sale operated by the company Atac under the Simply Market brand prior to the transaction is a supermarket with a sales area of 1,098 m². The transaction will therefore be analyzed in the supermarket market and equivalent forms of trade.  </w:t>
        <w:br/>
        <w:t xml:space="preserve">2. GEOGRAPHICAL MARKETS  </w:t>
        <w:br/>
        <w:t xml:space="preserve">29. Competition authorities have examined the effects of concentrations in the food-related retail distribution sector at the local level, corresponding to the catchment area associated with each store, the extent of which is dependent on the travel time for the consumer.  </w:t>
        <w:br/>
        <w:t xml:space="preserve">30. The Competition Authority has emphasized that, for stores with a surface area exceeding 400 m², competitive conditions are assessed in two different areas:  </w:t>
        <w:br/>
        <w:t xml:space="preserve">- a first market where the demand from consumers in an area meets the supply of hypermarkets to which they have access within less than 30 minutes of travel by car and which are, from their perspective, substitutable with each other,  </w:t>
        <w:br/>
        <w:t xml:space="preserve">- and a second market where the demand from consumers meets the supply of supermarkets and equivalent forms of trade located within less than 15 minutes of travel by car. These latter forms of trade may include, in addition to supermarkets, hypermarkets located near consumers and discount stores.  </w:t>
        <w:br/>
        <w:t xml:space="preserve">31. The Authority considers that the competitive analysis only pertains to the second market when the target store is a supermarket, the first market being taken into account only when the target store is a hypermarket.  </w:t>
        <w:br/>
        <w:t xml:space="preserve">32. However, the Authority consistently specifies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33. In this case, given the characteristics of the target store, the analysis will focus on the area including the target supermarket and competing stores located within less than 15 minutes of travel by car.  </w:t>
        <w:br/>
        <w:t xml:space="preserve">III. COMPETITIVE ANALYSIS  </w:t>
        <w:br/>
        <w:t xml:space="preserve">34. With regard to upstream supply markets, the transaction concerns only one store whose total purchases amount to […] euros, representing less than [0-5]% of the supply market. The purchasing power of the E.Leclerc movement is therefore not likely to be strengthened, across all products as well as by product categories.  </w:t>
        <w:br/>
        <w:t xml:space="preserve">35. With regard to downstream markets, the transaction does not entail any overlap of activities, as no food-related retail store under the E.Leclerc brand is present in the catchment area defined by considering a 15-minute travel time by car around the target point of sale.  </w:t>
        <w:br/>
        <w:t xml:space="preserve">36. Consequently, the transaction is not likely to harm competition either in the downstream market for food-related distribution or in the upstream supply market.  </w:t>
        <w:br/>
        <w:t xml:space="preserve">DECIDES  </w:t>
        <w:br/>
        <w:t xml:space="preserve">Sole Article: The transaction notified under number 15-140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