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https://www.autoritedelaconcurrence.fr/fr/decision-de-controle-des-concentrations/relative-la-prise-de-controle-conjoint-dun-magasin-de-2</w:t>
      </w:r>
    </w:p>
    <w:p>
      <w:r>
        <w:t>Pages translated : 9</w:t>
      </w:r>
    </w:p>
    <w:p/>
    <w:p>
      <w:r>
        <w:rPr>
          <w:b/>
        </w:rPr>
        <w:t>[Pages 1–3]</w:t>
      </w:r>
    </w:p>
    <w:p>
      <w:r>
        <w:t>FRENCH REPUBLIC</w:t>
        <w:br/>
        <w:t>Decision No. 15-DCC-55 of May 19, 2015</w:t>
        <w:br/>
        <w:t>regarding the joint control of a retail store with a predominant food focus by the company Sodibrag alongside the Association of E.Leclerc Distributor Centers</w:t>
        <w:br/>
        <w:t>The Competition Authority,</w:t>
        <w:br/>
        <w:t>Having regard to the notification file submitted in full to the concentrations service on April 9, 2015, regarding the joint control of a retail store with a predominant food focus by the company Sodibrag alongside the Association of E.Leclerc Distributor Centers, formalized by a bilateral promise of transfer of business assets and a bilateral promise of sale and purchase, both dated February 9, 2015;</w:t>
        <w:br/>
        <w:t>Having regard to Book IV of the Commercial Code relating to price freedom and competition, and in particular its Articles L. 430-1 to L. 430-7;</w:t>
        <w:br/>
        <w:t>Having regard to the supplementary elements transmitted by the parties during the investigation;</w:t>
        <w:br/>
        <w:t>Adopts the following decision:</w:t>
        <w:br/>
        <w:t>I. The companies concerned and the operation</w:t>
        <w:br/>
        <w:t>A. THE COMPANIES CONCERNED</w:t>
        <w:br/>
        <w:t>1. THE ACQUIRERS AND THE TARGET</w:t>
        <w:br/>
        <w:t>1. The company Sodibrag SAS (hereinafter "Sodibrag"), whose capital is predominantly held by Mr. [X], operates a hypermarket with an area of 8,622 m² under the E.Leclerc brand in Saint-Dizier (52), with an attached Drive and gas station. It also controls the company EURL Des Loyes (hereinafter "Des Loyes"), which operates a travel agency under the Leclerc brand in Saint-Dizier, as well as the company SARL Lalandis (hereinafter "Lalandis") established specifically for the operation.</w:t>
      </w:r>
    </w:p>
    <w:p>
      <w:r>
        <w:t>2. The Association of E.Leclerc Distributor Centers (hereinafter, the "ACDLec" or the "Leclerc association") is the strategic body of the Leclerc movement, to which all natural persons who manage the operating companies of Leclerc stores are members. The ACDLec notably determines the conditions for approval to the Leclerc movement and signs the brand contracts that retail store operators E.Leclerc must hold.</w:t>
      </w:r>
    </w:p>
    <w:p>
      <w:r>
        <w:t>3. The target store is a supermarket, under the Simply Market brand, with an area of 1,846 m², located at 29 rue du Maréchal de Lattre de Tassigny in Saint-Dizier (52). This retail store with a predominant food focus is currently owned and operated by the company Atac SAS (hereinafter "Atac"), a subsidiary of the Auchan group.</w:t>
      </w:r>
    </w:p>
    <w:p>
      <w:r>
        <w:t>2. CONTROL OF THE COMPANIES CONCERNED</w:t>
        <w:br/>
        <w:t>4. It is argued in the notification of the operation that ACDLec does not exercise any control over Sodibrag and will not exercise any control over the target store after the operation. The latter would therefore be exclusively controlled by Mr. [X] and the notified operation would consist of the exclusive control of the target store by Sodibrag.</w:t>
      </w:r>
    </w:p>
    <w:p>
      <w:r>
        <w:t>5. Nevertheless, the target store will be controlled at […] % by Sodibrag, which is itself jointly controlled by ACDLec and Mr. [X]. Indeed, as the Competition Authority has noted in previous decisions, the obligations that ACDLec imposes on the operating companies allow it to exercise a decisive influence over them. This analysis of the decisive influence exerted by ACDLec is transposable to the present operation in light of the various contractual documents binding Sodibrag to ACDLec.</w:t>
      </w:r>
    </w:p>
    <w:p>
      <w:r>
        <w:t>6. Firstly, ACDLec constitutes a company within the meaning of the provisions of Article L. 430-1 of the Commercial Code insofar as it engages in an economic activity consisting notably, according to the provisions of its statutes, in (i) defining the brand policy, (ii) protecting and promoting the "E.Leclerc Distributor Center" sign, (iii) controlling either for itself or on behalf of any commercial company grouping the Leclerc distributor centers, the conditions of management of the latter or of the E.Leclerc centers associated with them, and (iv) contributing to the creation of any organization likely to promote the activity, solidarity, and security of its members.</w:t>
      </w:r>
    </w:p>
    <w:p>
      <w:r>
        <w:t>7. Secondly, the holding by ACDLec of joint control over Sodibrag, before and after the operation, arises from a set of indicators based notably on the possibility for ACDLec to intervene in the appointment and dismissal of the president of this company and the members of its sponsorship council, in the commercial policy of the store held by the operating company, and on the share transfers of the latter.</w:t>
      </w:r>
    </w:p>
    <w:p>
      <w:r>
        <w:t>The possibility to intervene in the appointment and dismissal of the president of Sodibrag</w:t>
        <w:br/>
        <w:t>8. ACDLec has a veto right over the appointment and exercise of the functions of the president of the company Sodibrag. The statutes of this company provide that a "sponsorship council" appoints (by simple majority) and dismisses (by unanimous vote) the president of the company, while the latter also assumes "the general management of the company." The sponsorship council is also "invested with the power to control the management of the company." In this capacity, it has the right to be communicated all documents and information and to give its opinion, even its approval, on several strategic issues.</w:t>
      </w:r>
    </w:p>
    <w:p>
      <w:r>
        <w:t>9. It follows from these stipulations that ACDLec is able to exercise, through the sponsorship council, control over the company Sodibrag. The members of the sponsorship council are, in addition to the regional supply center Scapest, all managing partners of E.Leclerc centers or legal entities whose representative is a manager of an E.Leclerc center, and thus linked to ACDLec by sign or plaque contracts. The members of the sponsorship council also provide their endorsement to the managers of E.Leclerc centers within the framework of a sponsorship agreement, which states "that due to the fundamental assistance provided in various forms by the LECLERC Movement and by the Sponsors of the member, it has been provided (...) for control, monitoring, or decision-making functions in favor of the Sponsors, within the said Company." Furthermore, it follows from the sponsorship agreement that the managers of the operating companies will not have any influence on the evolution of the composition of the sponsorship council insofar as "the sponsored party refrains from proposing the dismissal of one or more sponsors who are members of the sponsorship council of [its] company" and "generally refrains from any attitude aimed, if not to end, to oust the sponsors."</w:t>
      </w:r>
    </w:p>
    <w:p>
      <w:r>
        <w:t>10. More generally, only members of ACDLec (or the operating companies they manage) can operate a store under the E.Leclerc brand, join Galec or a general supply cooperative of the Leclerc movement, this status implying being the holder of a sign (or plaque) contract signed with ACDLec, granting the right to use the E.Leclerc sign. Insofar as ACDLec is not required to maintain the statutes that will remain unchanged after the operation, these statutes correspond to the "standard statutes" of simplified joint-stock companies approved by ACDLec. In accordance with the charter of Leclerc members, since 2002, any new member of the Leclerc movement must have the operating company of the store it manages adopt statutes of SAS whose model has been validated by ACDLec (charter of members of the Leclerc movement, p20).</w:t>
      </w:r>
    </w:p>
    <w:p>
      <w:r>
        <w:rPr>
          <w:b/>
        </w:rPr>
        <w:t>[Pages 4–6]</w:t>
      </w:r>
    </w:p>
    <w:p>
      <w:r>
        <w:t xml:space="preserve">to grant this right to use the E. Leclerc sign, nor to justify its potential refusals14 and where it can withdraw this right to use the E. Leclerc sign pursuant to stipulations of the sign or plaque contract that leave it a very wide margin of discretion15, ACDLec can control the appointment of the president, but also that of the members of the sponsorship council of the company Sodibrag.  </w:t>
        <w:br/>
        <w:t xml:space="preserve">Intervention in the commercial policy of operating companies  </w:t>
        <w:br/>
        <w:t xml:space="preserve">11. ACDLec16 imposes, in the plaque contracts, in the charter of members of the Leclerc movement17 and in directives, disseminated by its regional delegates who ensure their proper application18, two series of obligations. These obligations significantly limit the autonomy of the members in the conduct of their commercial policy. In this case, these obligations currently apply to Mr. [X] as President of Sodibrag19 and will also apply to him as the future president of the target store, which will enter into a plaque contract with ACDLec once the operation is authorized20.  </w:t>
        <w:br/>
        <w:t xml:space="preserve">12. Firstly, the association receives communication of all documents necessary for the assessment of the commercial operation of the stores by their managers. Members must therefore send their balance sheet and income statement each year, as well as, monthly, the turnover of the previous month21.  </w:t>
        <w:br/>
        <w:t xml:space="preserve">13. Secondly, ACDLec also imposes, in the sign contracts, obligations that confer on it a determining role for the commercial strategy of the stores. These contracts indeed provide, in particular, that members cannot apply margins higher than those practiced for wholesale sales and that, in any case, members undertake "never to apply a margin higher than those recommended by ACDLec"22. However, the setting of the margin rate is the essential element that conditions the commercial profitability of a retail brand. The charter of members of ACDLec expressly states that each member is required to respect the pricing policy of the Leclerc movement, which constitutes "one of the essential elements of belonging to ACDLec. (...) The average index target to be achieved to ensure the overall competitiveness of the brand is 96.5. Every member must strive to achieve the set target and, in any case, have a comprehensive index at the OPUS lower than 97.5. Non-compliance with this pricing rule leads to the implementation of a disciplinary procedure, a warning from ACDLec penalizes any excess, three consecutive warnings may lead to expulsion from the association"23. It follows that, in practice, ACDLec is effectively able to correct the commercial policy of the operating companies of Leclerc stores.  </w:t>
        <w:br/>
        <w:t xml:space="preserve">14. Furthermore, the sign contracts impose on members obligations precisely framing their supply and investments24. Members are also required not to operate or manage any other commercial enterprise25, even if it has a similar activity. In addition to these obligations imposed by ACDLec in the sign contracts, members of ACDLec are required to comply with the obligations set forth in the charter of members of the Leclerc movement26 and by directives outlining the brand policy developed by the strategic committee of ACDLec27, and disseminated by its regional delegates28. Any failure to comply with these obligations may justify the withdrawal of the right to use the E. Leclerc sign29.  </w:t>
        <w:br/>
        <w:t xml:space="preserve">The possibility of intervening in the share transfers of operating companies  </w:t>
        <w:br/>
        <w:t xml:space="preserve">15. The various statutory provisions or contractual stipulations applicable make it difficult to transfer shares of Sodibrag to a person outside the Leclerc movement.  </w:t>
        <w:br/>
        <w:t xml:space="preserve">16. Regarding share transfers by the majority shareholder, several obligations provided in the statutes of Sodibrag obstruct this:  </w:t>
        <w:br/>
        <w:t xml:space="preserve">- any total or partial transfer of shares held by a partner must be subject to a "prior offer of transfer" to the other partners30; and  </w:t>
        <w:br/>
        <w:t xml:space="preserve">- if the other partners have not expressed their intention to acquire the shares within two years after the presentation of the prior offer of transfer, the transferor may contract with a third party, subject to notifying the transfer to each of the partners, who then have a period of 30 days to indicate whether they intend to exercise their right of preemption. Failing a response within this period, they are deemed to have waived their acquisition31.  </w:t>
        <w:br/>
        <w:t xml:space="preserve">17. Overall, it follows from all the elements noted above, and in particular from the possibility for ACDLec to intervene in the administration and commercial policy as well as on the share transfers of Sodibrag, that ACDLec has the ability to exert a determining influence over it and will continue to have such influence after the operation.  </w:t>
        <w:br/>
        <w:t xml:space="preserve">23 See p. 17 of the charter of members of ACDLec.  </w:t>
        <w:br/>
        <w:t xml:space="preserve">24 See the provisions of paragraph III of the plaque contract of Mr. [X].  </w:t>
        <w:br/>
        <w:t xml:space="preserve">25 See the provisions of paragraph IV of the plaque contract of Mr. [X].  </w:t>
        <w:br/>
        <w:t xml:space="preserve">26 These include the following obligations: obligation of sponsorship and obligation to adopt statutes of SAS whose model has been validated by ACDLec, obligation to respect the social policy of the Leclerc movement, limitation on the number of points of sale that can be operated by a member, and obligation to respect the pricing policy of the Leclerc movement.  </w:t>
        <w:br/>
        <w:t xml:space="preserve">27 See Article 4 - "Development of the brand policy" of the internal regulations of ACDLec.  </w:t>
        <w:br/>
        <w:t xml:space="preserve">28 See the provisions of Article 3 of the internal regulations of ACDLec.  </w:t>
        <w:br/>
        <w:t xml:space="preserve">29 See in particular the provisions of paragraph VIII of the plaque contract of Mr. [X], as well as the provisions on page 17 of the charter of members of the Leclerc movement.  </w:t>
        <w:br/>
        <w:t xml:space="preserve">30 See the provisions of Article 12 of the statutes of Sodibrag.  </w:t>
        <w:br/>
        <w:t xml:space="preserve">31 Id.  </w:t>
        <w:br/>
        <w:t xml:space="preserve">B. THE OPERATION  </w:t>
        <w:br/>
        <w:t xml:space="preserve">18. The operation, formalized by a bilateral promise of transfer of business assets and a bilateral promise of sale and purchase, signed on February 9, 2015, consists of the acquisition by Mr. [X], via the company Sodibrag and a subsidiary of the latter, the company Lalandis, of the business assets and operating premises of the target store, the supermarket located at 29 rue du Maréchal de Lattre de Tassigny in Saint-Dizier (52). More specifically, the company Sodibrag will acquire the operating premises while the company Lalandis will acquire the business assets.  </w:t>
        <w:br/>
        <w:t xml:space="preserve">19. As it results in the joint control of the target store by the company Sodibrag alongside ACDLec, the operation constitutes a concentration within the meaning of Article L. 430-1 of the Commercial Code.  </w:t>
        <w:br/>
        <w:t xml:space="preserve">20. The companies concerned operate retail stores and together achieve a total turnover excluding tax worldwide of more than 75 million euros (Leclerc movement: […] euros for the fiscal year ending December 31, 201332; Mr. [X]: […] euros for the fiscal year ending February 28, 201433; the target store: […] euros for the fiscal year ending December 31, 2014). At least two of these companies achieve in France a turnover exceeding 15 million euros in the retail sector (Leclerc movement: […] euros for the fiscal year ending December 31, 2013; Mr. [X]: […] euros for the fiscal year ending February 28, 2014; the target store: […] euros for the fiscal year ending December 31, 2014). Given these turnover figures, the operation does not fall under the jurisdiction of the European Union. On the other hand, the control thresholds mentioned in II of Article L. 430-2 of the Commercial Code are exceeded. This operation is therefore subject to the provisions of Articles L. 430-3 and following of the Commercial Code relating to economic concentrations.  </w:t>
        <w:br/>
        <w:t xml:space="preserve">II. Definition of relevant markets  </w:t>
        <w:br/>
        <w:t xml:space="preserve">21. The markets concerned by the operation fall within the sector of food retail distribution.  </w:t>
        <w:br/>
        <w:t xml:space="preserve">22. According to the constant practice of national and community competition authorities, two categories of markets can be delineated in the food retail distribution sector. These are the "downstream" markets that bring together retail companies and consumers for the sale of consumer goods and the "upstream" supply markets on which companies as buyers are in contact with the manufacturers of the products.  </w:t>
        <w:br/>
        <w:t xml:space="preserve">32 ACDLec exercising joint control over certain stores under the E.Leclerc brand, only 50% of the turnover of the stores has been attributed to ACDLec for the purpose of calculating turnover, in accordance with the provisions of paragraphs 186 and 187 of the consolidated communication of the Commission.  </w:t>
        <w:br/>
        <w:t>33 Mr. [X] exercising joint control over Sodibrag, only 50% of the turnover of Sodibrag has been attributed to Mr. [X] for the purpose of calculating turnover, in accordance with the provisions of paragraphs 186 and 187 of the consolidated communication of the Commission.</w:t>
      </w:r>
    </w:p>
    <w:p>
      <w:r>
        <w:rPr>
          <w:b/>
        </w:rPr>
        <w:t>[Pages 7–9]</w:t>
      </w:r>
    </w:p>
    <w:p>
      <w:r>
        <w:t>A. UPSTREAM MARKETS FOR CONSUMER GOODS SUPPLY</w:t>
        <w:br/>
        <w:t>1. PRODUCT MARKETS</w:t>
        <w:br/>
        <w:t>23. With regard to supply markets, the European Commission34 has recognized the existence of national markets by major product groups, a delimitation followed by national authorities35.</w:t>
        <w:br/>
        <w:t>24. There is no need to challenge this delimitation in the context of the present operation.</w:t>
        <w:br/>
        <w:t>2. GEOGRAPHICAL MARKETS</w:t>
        <w:br/>
        <w:t>25. From a geographical perspective, the consistent decision-making practice of competition authorities considers that supply markets are of national dimension36.</w:t>
        <w:br/>
        <w:t>26. There is no need to challenge the decision-making practice in the context of the present operation.</w:t>
        <w:br/>
        <w:t>B. DOWNSTREAM MARKETS FOR FOOD-FOCUSED RETAIL DISTRIBUTION</w:t>
        <w:br/>
        <w:t>1. PRODUCT MARKETS</w:t>
        <w:br/>
        <w:t>27. The decision-making practice37 distinguishes six categories of retail trade in everyday consumer goods, using several criteria, including store size, sales techniques, accessibility, the nature of the service provided, and the range of products offered: (i) hypermarkets (food-focused stores with a legal sales area exceeding 2,500 m²), (ii) supermarkets (between 400 and 2,500 m²), (iii) specialized trade, (iv) small retail trade (less than 400 m²), (v) maxi-discount stores, and (vi) mail order sales.</w:t>
        <w:br/>
        <w:t>28. However, the decision-making practice specifies that the area thresholds should be used with caution and may be adapted to the specific case, as stores whose area is near a threshold, either below or above, may be in direct competition with stores of another category. Competition authorities consider that, while each category of store retains its specificity, there is asymmetric competition between certain of these categories. For the province, they thus distinguish38: (i) a market comprising only hypermarkets, and (ii) a market comprising supermarkets and equivalent forms of trade (hypermarkets, hard-discount, and popular stores) excluding small retail trade (less than 400 m²).</w:t>
        <w:br/>
        <w:t>29. In this case, the target store is a supermarket with an area of 1,846 m², currently operated by Atac, a subsidiary of Auchan, under the Simply Market brand. The operation will therefore be analyzed in the supermarket market and equivalent forms of trade.</w:t>
        <w:br/>
        <w:t>2. GEOGRAPHICAL MARKETS</w:t>
        <w:br/>
        <w:t>30. Competition authorities have examined the effects of concentrations in the food-focused retail distribution sector at the local level, corresponding to the catchment area associated with each store and whose extent is dependent on the travel time for the consumer.</w:t>
        <w:br/>
        <w:t>31. The Competition Authority has emphasized that, for stores with an area exceeding 400 m², competitive conditions are assessed in two different areas:</w:t>
        <w:br/>
        <w:t>- a first market where the demand from consumers in one area meets the supply of hypermarkets that they can access within 30 minutes of driving and which are, from their perspective, substitutable with each other, and</w:t>
        <w:br/>
        <w:t>- a second market where the demand from consumers meets the supply of supermarkets and equivalent forms of trade located within 15 minutes of driving time. These latter forms of trade may include, in addition to supermarkets, hypermarkets located near consumers and discount stores39.</w:t>
        <w:br/>
        <w:t>32. The Authority considers that the competitive analysis only pertains to the second market when the target store is a supermarket, the first market being taken into account only when the target store is a hypermarket40.</w:t>
        <w:br/>
        <w:t>33. The Authority consistently specifies, however, that these delimitations are subject to change on a case-by-case basis, depending on the characteristics of the local area, as other criteria may be taken into account to assess the impact of a concentration on the competitive situation in retail distribution markets, which may lead to refining, in the specific case, the usual delimitations presented above.</w:t>
        <w:br/>
        <w:t>34. In this case, the analysis will focus on the areas including the target supermarket and competing stores located within 15 minutes of driving time.</w:t>
        <w:br/>
        <w:t>39 See the decisions of the Competition Authority nos. 12-DCC-63, 13-DCC-90, and 14-DCC-173 cited above.</w:t>
        <w:br/>
        <w:t>40 See decision no. 14-DCC-173 cited above.</w:t>
      </w:r>
    </w:p>
    <w:p>
      <w:r>
        <w:t>III. Competitive Analysis</w:t>
        <w:br/>
        <w:t>A. ANALYSIS OF THE OPERATION'S EFFECTS ON UPSTREAM MARKETS FOR CONSUMER GOODS SUPPLY</w:t>
        <w:br/>
        <w:t>35. The operation, which concerns only one store, is not likely to significantly strengthen the purchasing power of the Leclerc movement, across all products as well as by major product groups.</w:t>
        <w:br/>
        <w:t>36. Consequently, the operation is not likely to harm competition in the upstream market for consumer goods supply.</w:t>
        <w:br/>
        <w:t>B. ANALYSIS OF THE OPERATION'S EFFECTS ON DOWNSTREAM MARKETS FOR FOOD-FOCUSED RETAIL TRADE</w:t>
        <w:br/>
        <w:t>37. The target store is a supermarket of 1,846 m² located in Saint-Dizier (52). The hypermarket previously controlled by Mr. [X] and ACDLec, with an area of 8,622 m², is also located in Saint-Dizier (52) and is 5 minutes by car from the target store.</w:t>
        <w:br/>
        <w:t>38. In the market comprising supermarkets and equivalent forms of trade located within a 15-minute driving radius around the target store, the latter represents [5-10]% of the sales areas in the zone, while the hypermarket under the Leclerc brand represents [30-40]% of the sales areas. Following the operation, the total market share of the Leclerc movement will thus rise to [30-40]% of the sales areas in the zone.</w:t>
        <w:br/>
        <w:t>39. Nevertheless, in this area, the parties will face competition from six other brands (Cora, Intermarché, Aldi, Carrefour, Lidl, and Casino) holding eight points of sale. In particular, the parties will face competition from a Cora hypermarket ([20-30]% of the sales areas) and an Intermarché hypermarket ([10-20]% of the sales areas). Six competing supermarkets will also be present in the area.</w:t>
        <w:br/>
        <w:t>40. In light of the above, the operation is therefore not likely to harm competition in the downstream markets for food-focused retail distribution.</w:t>
        <w:br/>
        <w:t>DECIDES</w:t>
        <w:br/>
        <w:t>Sole Article: The operation notified under number 15-054 is authorized.</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