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https://www.autoritedelaconcurrence.fr/fr/decision-de-controle-des-concentrations/relative-la-prise-de-controle-conjoint-dun-magasin-de-3</w:t>
      </w:r>
    </w:p>
    <w:p>
      <w:r>
        <w:t>Pages translated : 9</w:t>
      </w:r>
    </w:p>
    <w:p/>
    <w:p>
      <w:r>
        <w:rPr>
          <w:b/>
        </w:rPr>
        <w:t>[Pages 1–3]</w:t>
      </w:r>
    </w:p>
    <w:p>
      <w:r>
        <w:t xml:space="preserve">FRENCH REPUBLIC  </w:t>
        <w:br/>
        <w:t xml:space="preserve">Decision No. 15-DCC-59 of May 29, 2015  </w:t>
        <w:br/>
        <w:t xml:space="preserve">regarding the joint control of a retail store predominantly selling food  </w:t>
        <w:br/>
        <w:t xml:space="preserve">by the company Plageco Distribution  </w:t>
        <w:br/>
        <w:t xml:space="preserve">alongside the Association of E.Leclerc Distributor Centers  </w:t>
        <w:br/>
        <w:t xml:space="preserve">The Competition Authority,  </w:t>
        <w:br/>
        <w:t xml:space="preserve">Having regard to the notification file submitted in full to the concentrations service on April 30, 2015,  </w:t>
        <w:br/>
        <w:t xml:space="preserve">regarding the joint control of a retail store predominantly selling food by the company Plageco Distribution alongside the Association of E.Leclerc Distributor Centers, formalized by a decision of the Sponsorship Council of Plageco on October 23, 2014, and a draft contract for the transfer of a business dated April 10, 2015;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CONCERNED  </w:t>
        <w:br/>
        <w:t xml:space="preserve">1. THE ACQUIRERS AND THE TARGET  </w:t>
        <w:br/>
        <w:t xml:space="preserve">1. Plageco Distribution is a simplified joint-stock company that operates a hypermarket under the Leclerc brand, with an area of 5,000 m², located in Mimizan (40) and a supermarket under the Leclerc brand in Mimizan Plage (40). It is owned at more than […] % by the company Laucland, which is itself owned at more than […] % by the Landon spouses.  </w:t>
        <w:br/>
        <w:t xml:space="preserve">2. The Association of E. Leclerc Distributor Centers (hereinafter "ACDLec") is the strategic body of the Leclerc movement, to which all individuals who manage the operating companies of E.Leclerc stores are members. ACDLec notably determines the conditions for approval to the E.Leclerc movement and signs the brand contracts that must be held by the operators of E.Leclerc retail stores.  </w:t>
        <w:br/>
        <w:t xml:space="preserve">3. The target store is a supermarket, under the Leader Price brand, with an area of 522 m², and located in Labouheyre (40). This predominantly food retail store is currently owned by the company Leader Price Expansion, a subsidiary of the Casino group.  </w:t>
        <w:br/>
        <w:t xml:space="preserve">2. CONTROL OF THE ENTITIES CONCERNED  </w:t>
        <w:br/>
        <w:t xml:space="preserve">4. It is asserted in the notification of the operation that ACDLec does not exercise any control over Plageco Distribution and will not exercise any control over the target store after the operation. The latter would therefore be exclusively controlled by the Landon spouses and the notified operation would consist of the exclusive control acquisition of the target store by Plageco Distribution.  </w:t>
        <w:br/>
        <w:t xml:space="preserve">5. Nevertheless, following the operation, the business of the target store will be held by Plageco Distribution, which is itself jointly controlled by ACDLec and the Landon spouses. Indeed, as the Competition Authority has noted in previous decisions, the obligations that ACDLec imposes on the operating companies of E.Leclerc stores, such as Plageco Distribution, allow it to exert a determining influence over it. This analysis of the determining influence exerted by ACDLec is transposable to the present operation in light of the various contractual documents binding Plageco Distribution to ACDLec.  </w:t>
        <w:br/>
        <w:t xml:space="preserve">6. Firstly, ACDLec constitutes a company within the meaning of the provisions of Article L. 430-1 of the Commercial Code insofar as it engages in an economic activity consisting notably, according to the provisions of its statutes, in (i) defining the brand policy, (ii) protecting and promoting the plaque "E.Leclerc Distributor Center," (iii) controlling either for itself or on behalf of any commercial company grouping the E.Leclerc distributor centers, the conditions of management of the latter or of the associated E.Leclerc centers, and (iv) contributing to the creation of any organization likely to promote the activity, solidarity, and security of its members.  </w:t>
        <w:br/>
        <w:t xml:space="preserve">7. Secondly, the holding by ACDLec of joint control over the company Plageco Distribution before and after the operation arises from a set of indicators based notably on ACDLec's ability to intervene in the appointment and dismissal of the president of this company and the members of its sponsorship council, in the commercial policy of the store held by the operating company, and on the share transfers of the latter.  </w:t>
        <w:br/>
        <w:t xml:space="preserve">1 See the decisions of the Competition Authority No. 12-DCC-125 of August 27, 2012, regarding the joint control of 28 retail stores predominantly selling food by the Union of Alsace Cooperators and the Association of E.Leclerc Distributor Centers, No. 13-DCC-12 of January 28, 2013, regarding the joint control of the companies Nobladis and Sodirev by the Cornac group and the Association of E.Leclerc Distributor Centers, No. 13-DCC-112 of August 19, 2013, regarding the exclusive control of the company Hypercoop by the Association of E.Leclerc Distributor Centers, and No. 14-DCC-16 of February 12, 2014, regarding the joint control of a hypermarket under the Leclerc brand by the companies Licehold, Lihold, and the Association of E.Leclerc Distributor Centers, and No. 14-DCC-144, regarding the joint control of the company Phalsdis by the Holding Sarredis alongside the Association of E.Leclerc Distributor Centers; Decision No. 14-DCC-196 of December 24, 2014, regarding the joint control of a retail store predominantly selling food by the company Blanc Mesnil Distribution alongside the Association of E.Leclerc Distributor Centers.  </w:t>
        <w:br/>
        <w:t xml:space="preserve">2 See the provisions of Article 1 of the statutes of ACDLec.  </w:t>
        <w:br/>
        <w:t>2</w:t>
      </w:r>
    </w:p>
    <w:p>
      <w:r>
        <w:t xml:space="preserve">The ability to intervene in the appointment and dismissal of the president of Plageco Distribution  </w:t>
        <w:br/>
        <w:t xml:space="preserve">8. ACDLec has a veto right over the appointment and exercise of the functions of the president of Plageco Distribution. The statutes of this company provide that a "Sponsorship Council" appoints and dismisses, by simple majority, the president of the company, while the latter "assumes the general management of the company." The sponsorship council "is vested with the power to control the management of the company" and decisions concerning several strategic issues (decisions relating to loans, decisions to acquire or transfer any direct or indirect interests in any companies, decisions concerning any operations relating to real estate) can only be made by the president with the authorization of the sponsorship council. Furthermore, the latter "may require at any time during the life of the company that the President submit for its consideration: the budgets of the company; the documents of prospective management; the interim situations."  </w:t>
        <w:br/>
        <w:t xml:space="preserve">9. It follows from these stipulations that ACDLec is able to exercise, through the sponsorship council of Plageco Distribution, control over the latter. The members of the sponsorship council, in addition to the Landon spouses and the central purchasing company of the southwest (Scaso), are all individuals managing companies operating an E. Leclerc center, and thus linked to ACDLec by plaque or brand contracts. The members of the sponsorship council also provide their endorsement to the Landon spouses within the framework of a sponsorship contract which indicates that, in return, the sponsored party undertakes notably "to comply with and observe the internal operating rules of the LECLERC Movement and to execute the directives and decisions of all its organic or coordinating bodies." Furthermore, the sponsorship agreement does not provide that the Landon spouses will have any influence on the evolution of the composition of the sponsorship council of Plageco Distribution.  </w:t>
        <w:br/>
        <w:t xml:space="preserve">10. More generally, only members of ACDLec (or the operating companies they manage) can operate a store under the E.Leclerc brand, join Galec or a general supply cooperative of the E.Leclerc movement, this status implying that one must hold a plaque (or brand) contract signed with ACDLec, granting the right to use the E.Leclerc brand. Insofar as ACDLec is not  </w:t>
        <w:br/>
        <w:t xml:space="preserve">3 Which will remain unchanged following the operation. These statutes correspond to the "standard statutes" of simplified joint-stock companies approved by ACDLec. In accordance with the charter of Leclerc members, since 2002, any new member of the Leclerc movement must have the operating company of the store they manage adopt statutes of SAS whose model has been validated by ACDLec (charter of Leclerc members, p. 20).  </w:t>
        <w:br/>
        <w:t xml:space="preserve">4 Article 16 of the statutes of Plageco Distribution.  </w:t>
        <w:br/>
        <w:t xml:space="preserve">5 Article 13.2 of the statutes of Plageco Distribution.  </w:t>
        <w:br/>
        <w:t xml:space="preserve">6 Article 13.3 of the statutes of Plageco Distribution.  </w:t>
        <w:br/>
        <w:t xml:space="preserve">7 Article 16.1 of the statutes of Plageco Distribution.  </w:t>
        <w:br/>
        <w:t xml:space="preserve">8 Article 16.3 of the statutes of Plageco Distribution.  </w:t>
        <w:br/>
        <w:t xml:space="preserve">9 The notifying parties provided the sponsorship contract signed by the Landon spouses for the extension of the operating area of an E. Leclerc hypermarket located in Mimizan (40). The notifying parties indicated that no amendment to this sponsorship contract would be signed and that following the operation, the sponsors of Plageco Distribution would remain the same as before the operation.  </w:t>
        <w:br/>
        <w:t xml:space="preserve">10 See p. 5 of the sponsorship contract signed by the Landon spouses.  </w:t>
        <w:br/>
        <w:t xml:space="preserve">11 Article 6 of the statutes of ACDLec notably provides that "membership in the association necessarily involves signing the contract whose terms have been determined by the board of directors and which defines the conditions for the allocation of the plaque E.Leclerc Distributor Center to the member."  </w:t>
        <w:br/>
        <w:t>3</w:t>
      </w:r>
    </w:p>
    <w:p>
      <w:r>
        <w:rPr>
          <w:b/>
        </w:rPr>
        <w:t>[Pages 4–6]</w:t>
      </w:r>
    </w:p>
    <w:p>
      <w:r>
        <w:t>required to grant this right of use of the E.Leclerc sign, nor to justify its potential refusals, and where it can withdraw this right of use of the E.Leclerc sign pursuant to stipulations of the sign or plaque contract that leave it a very wide margin of discretion, ACDLec can control the appointment of the president, as well as the members of the sponsorship council of the company Plageco Distribution.</w:t>
      </w:r>
    </w:p>
    <w:p>
      <w:r>
        <w:t xml:space="preserve">Intervention in the commercial policy of operating companies  </w:t>
        <w:br/>
        <w:t xml:space="preserve">11. ACDLec imposes, in the plaque contracts, in the charter of members of the E.Leclerc movement, and in directives disseminated by its regional delegates who ensure their proper application, two sets of obligations. These obligations greatly limit the autonomy of the members in conducting their commercial policy. In this case, these obligations apply to Mr. Landon as president of Plageco Distribution and signatory, along with ACDLec, of a plaque contract.  </w:t>
        <w:br/>
        <w:t xml:space="preserve">12. Firstly, the association receives communication of all documents necessary for assessing the commercial operation of the stores by their managers. Members must therefore submit their balance sheet and income statement each year, as well as, monthly, the turnover of the previous month.  </w:t>
        <w:br/>
        <w:t xml:space="preserve">13. Secondly, ACDLec also imposes, in the brand contracts, obligations that confer a determining role for the commercial strategy of the stores. These contracts indeed provide that members cannot apply margins higher than those practiced for wholesale sales and that, in any case, members commit "never to apply a margin higher than those recommended by ACDLec." However, the setting of the margin rate is the essential element that conditions the commercial profitability of a large retail brand. The charter of members of ACDLec expressly states that each member is required to respect the pricing policy of the E.Leclerc movement, which constitutes "one of the essential elements of belonging to ACDLec. (...) The average index target to be achieved to ensure the overall competitiveness of the brand is 96.5. Every member must strive to meet the set target and, in any case, have a comprehensive index at OPUS lower than 97.5. Non-compliance with this pricing rule leads to the implementation of a disciplinary procedure, a warning from ACDLec sanctions any excess, three consecutive warnings may lead to expulsion from the association." It follows that, in practice, ACDLec is indeed able to correct the commercial policy of E.Leclerc store operating companies.  </w:t>
        <w:br/>
        <w:t>14. Furthermore, the brand contracts impose on members obligations that precisely frame their supply and investments. Members are also required not to operate or manage any other commercial enterprise, even if it has a similar activity. In addition to these obligations imposed by ACDLec in the brand contracts, members of ACDLec are required to comply with the obligations set forth in the charter of members of the E.Leclerc movement and by directives outlining the brand policy developed by the strategic committee of ACDLec, and disseminated by its regional delegates. Any failure to comply with these obligations may justify the withdrawal of the right of use of the E.Leclerc sign.</w:t>
      </w:r>
    </w:p>
    <w:p>
      <w:r>
        <w:t xml:space="preserve">The possibility of intervening in the share transfers of operating companies  </w:t>
        <w:br/>
        <w:t xml:space="preserve">15. The various statutory provisions or contractual stipulations applicable make it difficult to transfer shares of Plageco Distribution to a person outside the E.Leclerc movement.  </w:t>
        <w:br/>
        <w:t xml:space="preserve">16. Regarding share transfers by the majority shareholder, several obligations provided in the statutes of Plageco Distribution obstruct this:  </w:t>
        <w:br/>
        <w:t xml:space="preserve">- any total or partial transfer of shares held by a partner must be subject to a "prior offer of sale" to the other partners; and  </w:t>
        <w:br/>
        <w:t xml:space="preserve">- if the other partners have not expressed their intention to acquire the shares within two years after the presentation of the prior transfer offer, the transferor may contract with a third party, subject to notifying the transfer to each of the partners, who then have a period of 30 days to indicate whether they intend to exercise their preemptive right. Failing a response within this period, they are deemed to have waived their right to acquire the transferred shares.  </w:t>
        <w:br/>
        <w:t>17. Overall, it follows from all of the above, and notably from the possibility for ACDLec to intervene in the administration and commercial policy as well as on the share transfers of Plageco Distribution, that ACDLec has the ability to exert a determining influence over it and will continue to have such influence after the operation.</w:t>
      </w:r>
    </w:p>
    <w:p>
      <w:r>
        <w:rPr>
          <w:b/>
        </w:rPr>
        <w:t>[Pages 7–9]</w:t>
      </w:r>
    </w:p>
    <w:p>
      <w:r>
        <w:t xml:space="preserve">22. There is no reason to call into question this delimitation in the context of the present operation.  </w:t>
        <w:br/>
        <w:t xml:space="preserve">B. B. THE DOWNSTREAM MARKETS OF DISTRIBUTION  </w:t>
        <w:br/>
        <w:t xml:space="preserve">1. THE SERVICE MARKETS  </w:t>
        <w:br/>
        <w:t xml:space="preserve">23. With regard to the retail sale of everyday consumer goods, the decisional practice distinguishes six categories of retail trade in everyday consumer goods, using several criteria, including the size of the stores, their sales techniques, their accessibility, the nature of the service provided, and the range of products offered: (i) hypermarkets (stores predominantly selling food with a legal sales area exceeding 2,500 m²), (ii) supermarkets (between 400 and 2,500 m²), (iii) specialized trade, (iv) small retail trade (less than 400 m²), (v) discount stores, (vi) mail order sales. However, the decisional practice specifies that the area thresholds should be used with caution and may be adapted to the specific case, as stores whose area is close to a threshold, whether below or above, may be in direct competition with stores of another category.  </w:t>
        <w:br/>
        <w:t xml:space="preserve">24. The competition authorities consider that, while each category of store retains its specificity, there is asymmetric competition between certain of these categories. For the province, they thus distinguish: (i) a market comprising only hypermarkets, and (ii) a market comprising supermarkets and equivalent forms of trade (hypermarkets, hard-discount, and popular stores) excluding small retail trade (less than 400 m²).  </w:t>
        <w:br/>
        <w:t xml:space="preserve">25. In this case, the target point of sale operated by the Casino group before the operation under the Leader Price brand is a supermarket with a sales area of 522 m². The operation will therefore be analyzed in the supermarket market and equivalent forms of trade.  </w:t>
        <w:br/>
        <w:t xml:space="preserve">2. GEOGRAPHICAL MARKETS  </w:t>
        <w:br/>
        <w:t xml:space="preserve">26. The competition authorities examined the effects of concentrations in the food retail sector at the local level, corresponding to the catchment area associated with each store and whose extent depends on the travel time for the consumer.  </w:t>
        <w:br/>
        <w:t xml:space="preserve">27. The Competition Authority emphasized that, for stores with an area greater than 400 m², the conditions of competition are assessed over two different areas:  </w:t>
        <w:br/>
        <w:t xml:space="preserve">- a first market where the demand from consumers in an area meets the supply of hypermarkets that they can access within less than 30 minutes of travel by car and which are, from their perspective, substitutable for one another, and  </w:t>
        <w:br/>
        <w:t xml:space="preserve">- a second market where the demand from consumers meets the supply of supermarkets and equivalent forms of trade located within less than 15 minutes of travel by car. These latter forms of trade may include, in addition to supermarkets, hypermarkets located close to consumers and discount stores.  </w:t>
        <w:br/>
        <w:t xml:space="preserve">28. The Authority considers that the competitive analysis only concerns the second market when the target store is a supermarket, the first market being taken into account only when the target store is a hypermarket.  </w:t>
        <w:br/>
        <w:t xml:space="preserve">29. The Authority, however, consistently specifies that these delimitations are subject to change on a case-by-case basis, depending on the characteristics of the local area, as other criteria may be taken into account to assess the impact of a concentration on the competitive situation in retail distribution markets, which may lead to refining, in the specific case, the usual delimitations presented above.  </w:t>
        <w:br/>
        <w:t xml:space="preserve">30. In this case, given the characteristics of the target store, the analysis will focus on the area including the target supermarket and competing stores located within less than 15 minutes of travel by car.  </w:t>
        <w:br/>
        <w:t xml:space="preserve">III. Competitive Analysis  </w:t>
        <w:br/>
        <w:t xml:space="preserve">31. With regard to the downstream markets, the operation does not entail any overlap of activity, as no food retail store under the Leclerc brand is present in the catchment area of the target point of sale.  </w:t>
        <w:br/>
        <w:t xml:space="preserve">32. With regard to the upstream supply markets, the operation concerns only one store whose total purchases amount to […] million euros, which represents less than 0.01% of the supply market. The purchasing power of the E. Leclerc movement is therefore not likely to be strengthened, across all products as well as by product categories.  </w:t>
        <w:br/>
        <w:t>33. Consequently, the operation is not likely to harm competition either in the downstream distribution market or in the upstream supply market.</w:t>
      </w:r>
    </w:p>
    <w:p>
      <w:r>
        <w:t xml:space="preserve">DECIDES  </w:t>
        <w:br/>
        <w:t xml:space="preserve">Sole Article: The operation notified under number 15-063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