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https://www.autoritedelaconcurrence.fr/fr/decision-de-controle-des-concentrations/relative-la-prise-de-controle-conjoint-dun-magasin-de-4</w:t>
      </w:r>
    </w:p>
    <w:p>
      <w:r>
        <w:t>Pages translated : 2</w:t>
      </w:r>
    </w:p>
    <w:p/>
    <w:p>
      <w:r>
        <w:rPr>
          <w:b/>
        </w:rPr>
        <w:t>[Pages 1–2]</w:t>
      </w:r>
    </w:p>
    <w:p>
      <w:r>
        <w:t xml:space="preserve">FRENCH REPUBLIC  </w:t>
        <w:br/>
        <w:t xml:space="preserve">Decision No. 16-DCC-05 of January 14, 2016  </w:t>
        <w:br/>
        <w:t>regarding the joint control acquisition of a retail store with a food focus by the Dezon parties alongside ITM Entreprises</w:t>
      </w:r>
    </w:p>
    <w:p>
      <w:r>
        <w:t>The Competition Authority,</w:t>
      </w:r>
    </w:p>
    <w:p>
      <w:r>
        <w:t>Having regard to the complete notification file sent to the mergers department on December 16, 2015, concerning the joint control acquisition of a retail store with a food focus by the Dezon parties alongside ITM Entreprises, and formalized by a business transfer agreement dated December 15, 2015;</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 xml:space="preserve">Adopts the following decision:  </w:t>
        <w:br/>
        <w:t xml:space="preserve">1. The notified operation consists of the joint control acquisition of a supermarket-type business predominantly focused on food under the Intermarché brand in the city of Marmande (47) by the Dezon parties alongside ITM Entreprises. It constitutes a concentration operation within the meaning of Article L. 430-1 of the Commercial Code. Given the turnover achieved by the companies concerned, the operation does not fall under the jurisdiction of the European Union. However, the control thresholds related to retail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15-238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