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https://www.autoritedelaconcurrence.fr/fr/decision-de-controle-des-concentrations/relative-la-prise-de-controle-conjoint-dun-magasin-de-5</w:t>
      </w:r>
    </w:p>
    <w:p>
      <w:r>
        <w:t>Pages translated : 9</w:t>
      </w:r>
    </w:p>
    <w:p/>
    <w:p>
      <w:r>
        <w:rPr>
          <w:b/>
        </w:rPr>
        <w:t>[Pages 1–3]</w:t>
      </w:r>
    </w:p>
    <w:p>
      <w:r>
        <w:t xml:space="preserve">FRENCH REPUBLIC  </w:t>
        <w:br/>
        <w:t xml:space="preserve">Decision No. 16-DCC-14 of January 29, 2016  </w:t>
        <w:br/>
        <w:t>regarding the joint control of a retail store predominantly selling food by the company Attindis alongside the Association of E. Leclerc Distribution Centers</w:t>
      </w:r>
    </w:p>
    <w:p>
      <w:r>
        <w:t xml:space="preserve">The Competition Authority,  </w:t>
        <w:br/>
        <w:t xml:space="preserve">Having regard to the notification file submitted in full to the concentrations service on December 23, 2015, concerning the joint control of a retail store predominantly selling food by the company Attindis alongside the Association of E. Leclerc Distribution Centers, formalized by a business transfer agreement dated December 8, 2015;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A. THE CONCERNED COMPANIES  </w:t>
        <w:br/>
        <w:t xml:space="preserve">1. THE ACQUIRERS AND THE TARGET  </w:t>
        <w:br/>
        <w:t xml:space="preserve">1. Attindis is a simplified joint-stock company operating a hypermarket with an area of 3,106 m² under the E.Leclerc brand, a drive-through, and a gas station located in Attin (62). It is owned, directly and through the holding company Attindis Expansion, at [...] % by the Goasdoue spouses.  </w:t>
        <w:br/>
        <w:t xml:space="preserve">2. The Association of E.Leclerc Distribution Centers (hereinafter "ACDLec") is the strategic body of the E.Leclerc movement, to which all individuals managing E.Leclerc store operating companies are members. ACDLec determines, in particular, the conditions for approval to the E.Leclerc movement and signs the signage contracts that must be held by the operators of E.Leclerc retail stores.  </w:t>
        <w:br/>
        <w:t>3. The target store is a supermarket operated under the Dia brand, located in Attin (62), with a sales area of 700 m², which belongs to the company Erteco France.</w:t>
      </w:r>
    </w:p>
    <w:p>
      <w:r>
        <w:t xml:space="preserve">2. CONTROL OF THE ENTITIES CONCERNED  </w:t>
        <w:br/>
        <w:t xml:space="preserve">4. It is asserted in the notification of the operation that ACDLec does not exercise any control over Attindis or Attindis Expansion and will not exercise any control over the target store after the operation. The latter would therefore be exclusively controlled by the Goasdoue spouses, and the notified operation would consist of the exclusive control of the target store by Attindis.  </w:t>
        <w:br/>
        <w:t xml:space="preserve">5. Nevertheless, at the conclusion of the operation, the supermarket business of the target store will be owned by Attindis, which is itself jointly controlled by ACDLec and the Goasdoue spouses. Indeed, as the Competition Authority has noted in previous decisions, the obligations that ACDLec imposes on the operating companies of E.Leclerc stores, such as the company Attindis, allow it to exert a decisive influence over it. This analysis of the decisive influence exerted by ACDLec is transposable to the present operation in light of the various contractual documents binding Attindis to ACDLec.  </w:t>
        <w:br/>
        <w:t xml:space="preserve">6. Firstly, ACDLec constitutes a company within the meaning of the provisions of Article L. 430-1 of the Commercial Code insofar as it engages in an economic activity consisting, in particular, according to the provisions of its statutes, of (i) defining the brand policy, (ii) protecting and promoting the "E.Leclerc Distribution Center" signage, (iii) controlling either for itself or on behalf of any commercial company grouping the E.Leclerc distribution centers, the conditions of management of these centers or the associated E.Leclerc centers, and (iv) contributing to the creation of any organization likely to promote the activity, solidarity, and security of its members.  </w:t>
        <w:br/>
        <w:t>7. Secondly, ACDLec's joint control over the company Attindis before and after the operation arises from a set of indicators based, in particular, on ACDLec's ability to intervene in the appointment and dismissal of the president of this company and the members of its management committee, in the commercial policy of the store owned by the operating company, and on the share transfers of the latter.</w:t>
      </w:r>
    </w:p>
    <w:p>
      <w:r>
        <w:t xml:space="preserve">The ability to intervene in the appointment and dismissal of the president of the company Attindis  </w:t>
        <w:br/>
        <w:t xml:space="preserve">8. ACDLec has a veto right over the appointment and exercise of the functions of the president of the company Attindis. The statutes of this company provide that a "management committee" appoints and dismisses, by a simple majority of the committee members, the president of the company, while the latter "assumes [...] the general management of the company." The management committee "is vested with the broadest powers to assist the President of the Company in the management of the Company" and decisions regarding several strategic issues (decisions relating to loans, decisions to take or transfer any direct or indirect interests in any companies, decisions concerning all operations relating to real estate) can only be made by the president with the authorization of the management committee.  </w:t>
        <w:br/>
        <w:t xml:space="preserve">9. It follows from these stipulations that ACDLec is able to exercise, through the management committee of the company Attindis, control over the latter. The members of the management committee, in addition to the Goasdoue spouses and the cooperative supply company of the Artois region (Scapartois), are predominantly individuals or legal entities managing companies operating an E.Leclerc center, and are therefore linked to ACDLec by signage or branding contracts. Most of them have entered into a sponsorship agreement with the Goasdoue spouses, granting them the status of "sponsors." The sponsors thus provide their endorsement to the Goasdoue spouses within the framework of the said agreement, which states that, in return, the sponsored party undertakes, in particular, "to apply in the most scrupulous manner all directives given by the Leclerc Movement." Furthermore, the sponsorship agreement does not provide that the Goasdoue spouses will have any influence over the evolution of the composition of all the sponsors of the company Attindis.  </w:t>
        <w:br/>
        <w:t>10. More generally, only members of ACDLec (or the operating companies they manage) can operate a store under the E.Leclerc brand, join Galec or a general supply cooperative of the E.Leclerc movement, or be a sponsor of another member of ACDLec, this status implying that one holds a signage (or branding) contract signed with ACDLec, granting the right to use the E.Leclerc brand. Insofar as ACDLec is not obliged to grant this right to use the E.Leclerc brand, nor to justify any potential refusals, and where it can withdraw this right to use the E.Leclerc brand under the provisions of the signage or branding contract that leave it with a very wide margin of discretion, ACDLec can control the appointment of the president, but also that of the members of the management committee of the company Attindis.</w:t>
      </w:r>
    </w:p>
    <w:p>
      <w:r>
        <w:t xml:space="preserve">Intervention in the commercial policy of the operating companies  </w:t>
        <w:br/>
        <w:t>11. ACDLec imposes, in the signage contracts, in the charter of the members of the E.Leclerc movement, and in directives disseminated by its regional delegates that...</w:t>
      </w:r>
    </w:p>
    <w:p>
      <w:r>
        <w:rPr>
          <w:b/>
        </w:rPr>
        <w:t>[Pages 4–6]</w:t>
      </w:r>
    </w:p>
    <w:p>
      <w:r>
        <w:t>ensure their proper application, two sets of obligations. These obligations significantly limit the autonomy of the members in conducting their commercial policy. In this case, these obligations are imposed on Mr. Goasdoue as the president of Attindis and signatory, with ACDLec, of a signage contract.</w:t>
      </w:r>
    </w:p>
    <w:p>
      <w:r>
        <w:t>12. Firstly, the association receives communication of all documents necessary for assessing the commercial operation of the stores by their managers. Members must thus send their balance sheet and operating account annually, as well as the turnover of the previous month on a monthly basis.</w:t>
      </w:r>
    </w:p>
    <w:p>
      <w:r>
        <w:t>13. Secondly, ACDLec also imposes, in the signage contracts, obligations granting it a decisive role in the commercial strategy of the stores. These contracts indeed provide that members cannot apply margins higher than those practiced for wholesale sales and that, in any case, members commit "never to apply a margin higher than those recommended by ACDLec." However, the setting of the margin rate is the essential element that conditions the commercial profitability of a large retail brand. The charter of the members of ACDLec expressly states that each member is required to respect the pricing policy of the E.Leclerc movement, which constitutes "one of the essential elements of membership in ACDLec. [...] The average index objective to be achieved to ensure the overall competitiveness of the brand is [...]. Every member must strive to meet the set objective and, in any case, have a comprehensive index at the OPUS lower than [...]. Non-compliance with this pricing rule leads to the implementation of a disciplinary procedure; a warning from ACDLec penalizes any excess, with three consecutive warnings potentially leading to expulsion from the association." It follows that, in practice, ACDLec is indeed able to correct the commercial policy of the operating companies of E.Leclerc stores.</w:t>
      </w:r>
    </w:p>
    <w:p>
      <w:r>
        <w:t>14. Furthermore, the signage contracts impose on members obligations precisely framing their supply and investments. Members are also required not to operate or manage any other commercial enterprise, even if it has a similar activity. In addition to these obligations imposed by ACDLec in the signage contracts, members of ACDLec are required to comply with the obligations set forth by the charter of the members of the E.Leclerc movement and by directives outlining the signage policy developed by the strategic committee of ACDLec, and disseminated by its regional delegates. Any breach of these obligations may justify the withdrawal of the right to use the E.Leclerc signage.</w:t>
      </w:r>
    </w:p>
    <w:p>
      <w:r>
        <w:t>The possibility of intervening in the share transfers of the operating companies</w:t>
      </w:r>
    </w:p>
    <w:p>
      <w:r>
        <w:t>15. The various statutory provisions or contractual stipulations applicable make the transfer of shares of Attindis to a person outside the E.Leclerc movement difficult.</w:t>
      </w:r>
    </w:p>
    <w:p>
      <w:r>
        <w:t>16. Regarding share transfers, several obligations provided in the statutes of Attindis obstruct this:</w:t>
        <w:br/>
        <w:t>- any total or partial transfer of shares held by a partner must be subject to a "prior offer of sale to the other partners"; and</w:t>
        <w:br/>
        <w:t>- if the other partners have not expressed their willingness to acquire the shares within two years after the presentation of the prior transfer offer, the transferor may contract with a third party, subject to notifying the transfer to each of the partners, who then have a period of 30 days to indicate whether they intend to exercise their preemption right. Failing a response within this period, they are deemed to have waived their right to acquire the transferred shares.</w:t>
      </w:r>
    </w:p>
    <w:p>
      <w:r>
        <w:t>17. Overall, it follows from all of the above, and notably from the possibility for ACDLec to intervene in the administration and commercial policy, as well as on the share transfers of Attindis, that ACDLec has the ability to exert a decisive influence over it and will continue to have such ability after the operation.</w:t>
      </w:r>
    </w:p>
    <w:p>
      <w:r>
        <w:t>B. THE OPERATION</w:t>
      </w:r>
    </w:p>
    <w:p>
      <w:r>
        <w:t>18. The operation, formalized by a protocol of agreement for the transfer of business assets dated December 8, 2015, consists of the acquisition by the company Attindis, through the holding Attindis Expansion, both jointly controlled by the Goasdoue spouses and ACDLec, of the business assets of the target store, operated under the Dia brand in Attin (62).</w:t>
      </w:r>
    </w:p>
    <w:p>
      <w:r>
        <w:t>19. Insofar as it results in the joint control of the target store by the company Attindis alongside ACDLec, the operation constitutes a concentration within the meaning of Article L. 430-1 of the Commercial Code.</w:t>
      </w:r>
    </w:p>
    <w:p>
      <w:r>
        <w:t>20. The companies concerned operate retail stores and together achieve a total worldwide turnover exceeding 75 million euros (E.Leclerc movement: [...] billion euros for the fiscal year ending December 31, 2014; Goasdoue spouses: [...] million euros for the fiscal year ending September 30, 2014; the target store: [...] euros for the fiscal year ending May 31, 2015). At least two of these companies achieve in France a turnover exceeding 15 million euros in the retail sector (E.Leclerc movement: [...] billion euros for the fiscal year ending December 31, 2014; Goasdoue spouses: [...] million euros for the fiscal year ending January 31, 2015). Given these turnovers,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concentrations.</w:t>
      </w:r>
    </w:p>
    <w:p>
      <w:r>
        <w:t>II. Delimitation of Relevant Markets</w:t>
      </w:r>
    </w:p>
    <w:p>
      <w:r>
        <w:t>A. UPSTREAM SUPPLY MARKETS</w:t>
      </w:r>
    </w:p>
    <w:p>
      <w:r>
        <w:t>1. PRODUCT MARKETS</w:t>
      </w:r>
    </w:p>
    <w:p>
      <w:r>
        <w:t>21. Regarding the supply markets, the European Commission has recognized the existence of markets of national dimension by major product groups, a delimitation followed by national authorities.</w:t>
      </w:r>
    </w:p>
    <w:p>
      <w:r>
        <w:t>22. There is no need to challenge this delimitation in the context of the present operation.</w:t>
      </w:r>
    </w:p>
    <w:p>
      <w:r>
        <w:t>2. GEOGRAPHICAL MARKETS</w:t>
      </w:r>
    </w:p>
    <w:p>
      <w:r>
        <w:t>23. From a geographical perspective, the consistent decision-making practice of competition authorities considers that supply markets are of national dimension.</w:t>
      </w:r>
    </w:p>
    <w:p>
      <w:r>
        <w:t>24. There is no need to challenge the decision-making practice in the context of the present operation.</w:t>
      </w:r>
    </w:p>
    <w:p>
      <w:r>
        <w:rPr>
          <w:b/>
        </w:rPr>
        <w:t>[Pages 7–9]</w:t>
      </w:r>
    </w:p>
    <w:p>
      <w:r>
        <w:t>B. DOWNSTREAM MARKETS FOR FOOD-BASED RETAIL DISTRIBUTION</w:t>
      </w:r>
    </w:p>
    <w:p>
      <w:r>
        <w:t>1. PRODUCT MARKETS</w:t>
      </w:r>
    </w:p>
    <w:p>
      <w:r>
        <w:t>25. Regarding the retail sale of everyday consumer goods, the decisional practice distinguishes six categories of retail trade in everyday consumer goods, using several criteria, including store size, sales techniques, accessibility, the nature of the service provided, and the range of products offered: (i) hypermarkets (food-dominant stores with a legal sales area exceeding 2,500 m²), (ii) supermarkets (between 400 and 2,500 m²), (iii) specialized trade, (iv) small retail trade (less than 400 m²), (v) discount stores, (vi) mail order sales. However, the decisional practice specifies that the surface area thresholds should be used with caution and may be adapted to the specific case, as stores whose area is close to a threshold, either below or above, may be in direct competition with stores of another category.</w:t>
      </w:r>
    </w:p>
    <w:p>
      <w:r>
        <w:t>26. The competition authorities consider that, while each category of store retains its specificity, there is asymmetric competition between certain of these categories. For the province, they thus distinguish: (i) a market comprising only hypermarkets, and (ii) a market comprising supermarkets and equivalent forms of trade (hypermarkets, hard-discount, and popular stores) excluding small retail trade (less than 400 m²).</w:t>
      </w:r>
    </w:p>
    <w:p>
      <w:r>
        <w:t>27. In this case, the target point of sale operated by Erteco France under the Dia brand before the operation is a supermarket with a sales area of 700 m². The operation will therefore be analyzed in the supermarket market and equivalent forms of trade.</w:t>
      </w:r>
    </w:p>
    <w:p>
      <w:r>
        <w:t>2. GEOGRAPHICAL MARKETS</w:t>
      </w:r>
    </w:p>
    <w:p>
      <w:r>
        <w:t>28. The competition authorities examined the effects of concentrations in the food-based retail distribution sector at the local level, corresponding to the catchment area associated with each store, the extent of which is dependent on the travel time for the consumer.</w:t>
      </w:r>
    </w:p>
    <w:p>
      <w:r>
        <w:t>29. The Competition Authority emphasized that, for stores with an area greater than 400 m², the conditions of competition are assessed in two different areas:</w:t>
        <w:br/>
        <w:t>- a first market where the demand from consumers in one area meets the supply of hypermarkets that they can access within 30 minutes of travel by car and which are, from their perspective, substitutable for each other,</w:t>
        <w:br/>
        <w:t>- and a second market where the demand from consumers meets the supply of supermarkets and equivalent forms of trade located within 15 minutes of travel by car. These latter forms of trade may include, in addition to supermarkets, hypermarkets located near consumers and discount stores.</w:t>
      </w:r>
    </w:p>
    <w:p>
      <w:r>
        <w:t>30. The Authority considers that the competitive analysis only pertains to the second market when the target store is a supermarket, the first market being taken into account only when the target store is a hypermarket.</w:t>
      </w:r>
    </w:p>
    <w:p>
      <w:r>
        <w:t>31. The Authority consistently specifies, however,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w:t>
      </w:r>
    </w:p>
    <w:p>
      <w:r>
        <w:t>32. In this case, given the characteristics of the target store, the analysis will focus on the area including the target supermarket and competing stores located within 15 minutes of travel by car.</w:t>
      </w:r>
    </w:p>
    <w:p>
      <w:r>
        <w:t>III. Competitive Analysis</w:t>
      </w:r>
    </w:p>
    <w:p>
      <w:r>
        <w:t>A. UPSTREAM SUPPLY MARKET</w:t>
      </w:r>
    </w:p>
    <w:p>
      <w:r>
        <w:t>33. Regarding the upstream supply market, the operation concerns only one store whose total purchases amount to […] million euros, representing less than […] % of the supply market. The purchasing power of the E.Leclerc movement is therefore not likely to be strengthened, across all products as well as by product categories.</w:t>
      </w:r>
    </w:p>
    <w:p>
      <w:r>
        <w:t>B. DOWNSTREAM FOOD-BASED DISTRIBUTION MARKET</w:t>
      </w:r>
    </w:p>
    <w:p>
      <w:r>
        <w:t>34. Regarding the downstream distribution market, the target store is a supermarket of 700 m² located in Attin (62). The hypermarket previously controlled by the Goasdoue spouses and ACDLec, with a surface area of 3,106 m² and operated under the E.Leclerc brand, is also located in Attin (62) and is 2 minutes by car from the target store. The operation therefore results in an overlap of activities.</w:t>
      </w:r>
    </w:p>
    <w:p>
      <w:r>
        <w:t>35. In the market comprising supermarkets and equivalent forms of trade located within a 15-minute drive around the target store located at 39 national road in Attin (62), two hypermarkets under the E.Leclerc brand are present, representing [40-50] % of the sales areas. The target store represents [5-10] % of the sales areas in the zone. Following the operation, the total market share of the E.Leclerc movement will therefore rise to [50-60] % of the sales areas in the zone.</w:t>
      </w:r>
    </w:p>
    <w:p>
      <w:r>
        <w:t>36. Nevertheless, in this area, the parties will face three competing distribution groups holding together more than half of the points of sale present in the area: Carrefour ([30-40] % market share), Aldi ([10-20] % market share), and Lidl ([5-10] % market share). In particular, the parties will face competition from two Carrefour supermarkets ([10-20] % and [10-20] % of sales areas). Four other competing supermarkets will also be present in the area.</w:t>
      </w:r>
    </w:p>
    <w:p>
      <w:r>
        <w:t>37. Therefore, the operation is not likely to harm competition either in the downstream food-based distribution market or in the upstream supply market in the Attin (62) area.</w:t>
      </w:r>
    </w:p>
    <w:p>
      <w:r>
        <w:t>DECIDES</w:t>
      </w:r>
    </w:p>
    <w:p>
      <w:r>
        <w:t>Sole Article: The operation notified under number 15-241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