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https://www.autoritedelaconcurrence.fr/fr/decision-de-controle-des-concentrations/relative-la-prise-de-controle-conjoint-dun-magasin-de-6</w:t>
      </w:r>
    </w:p>
    <w:p>
      <w:r>
        <w:t>Pages translated : 2</w:t>
      </w:r>
    </w:p>
    <w:p/>
    <w:p>
      <w:r>
        <w:rPr>
          <w:b/>
        </w:rPr>
        <w:t>[Pages 1–2]</w:t>
      </w:r>
    </w:p>
    <w:p>
      <w:r>
        <w:t xml:space="preserve">FRENCH REPUBLIC  </w:t>
        <w:br/>
        <w:t xml:space="preserve">Decision No. 16-DCC-179 of November 18, 2016  </w:t>
        <w:br/>
        <w:t xml:space="preserve">regarding the joint control acquisition of a retail store with a food focus by ITM Entreprises alongside the Dalmasso parties  </w:t>
        <w:br/>
        <w:t xml:space="preserve">The Competition Authority,  </w:t>
        <w:br/>
        <w:t xml:space="preserve">Having regard to the notification file sent to the mergers department on October 5, 2016, and declared complete on October 21, 2016, concerning the joint control acquisition of a retail store with a food focus by ITM Entreprises alongside the Dalmasso parties, formalized by a letter of intent dated September 15,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a retail store with a food focus located in Saint Martin du Var (06) by ITM Entreprises alongside the Dalmasso parties.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16-195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