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https://www.autoritedelaconcurrence.fr/fr/decision-de-controle-des-concentrations/relative-la-prise-de-controle-conjoint-dun-magasin-de-7</w:t>
      </w:r>
    </w:p>
    <w:p>
      <w:r>
        <w:t>Pages translated : 5</w:t>
      </w:r>
    </w:p>
    <w:p/>
    <w:p>
      <w:r>
        <w:rPr>
          <w:b/>
        </w:rPr>
        <w:t>[Pages 1–3]</w:t>
      </w:r>
    </w:p>
    <w:p>
      <w:r>
        <w:t xml:space="preserve">FRENCH REPUBLIC  </w:t>
        <w:br/>
        <w:t xml:space="preserve">Decision No. 17-DCC-118 of July 25, 2017  </w:t>
        <w:br/>
        <w:t>regarding the joint control of a retail store predominantly focused on food by the company Sesyclau alongside ITM Entreprises</w:t>
      </w:r>
    </w:p>
    <w:p>
      <w:r>
        <w:t xml:space="preserve">The Competition Authority,  </w:t>
        <w:br/>
        <w:t xml:space="preserve">Having regard to the notification file submitted in full to the merger service on June 29, 2017, regarding the joint control of a retail store predominantly focused on food by the company Sesyclau alongside ITM Entreprises, formalized by a bilateral promise of sale dated June 2, 2017;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ITM Entreprises, a company 100% controlled by the civil company of the Mousquetaires, itself held by more than 1,400 natural persons known as "associated members" and one legal entity,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Netto, Poivre Rouge, Brico Marché, Brico Cash, and Roady.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Sesyclau is the holding company of the consortium [confidential]. It holds several companies that operate retail outlets predominantly focused on food under the Intermarché and Netto brands in the cities of Saint-Amand-Montrond (18), La Chatre (36), Châteauroux (36), Chateaumeillant (18), and Aigurande (36).  </w:t>
        <w:br/>
        <w:t xml:space="preserve">3. The target business is a retail outlet predominantly focused on food with a surface area of 950 m² under the Simply Market brand, located in the city of Saint-Amand-Montrond (18).  </w:t>
        <w:br/>
        <w:t xml:space="preserve">4. Upon completion of the transaction, the target business will be operated under the Intermarché brand by the company Expressamand, which is in the process of being established and will be jointly owned by Sesyclau and ITM Entreprises. The completion of the notified project will result in a joint control of the target business by the companies Sesyclau and ITM Entreprises and thus constitutes a concentration within the meaning of Article L. 430-1 of the Commercial Code.  </w:t>
        <w:br/>
        <w:t>5. The concerned companies operate several retail stores and together achieve a total worldwide turnover of more than 75 million euros (ITM Entreprises: […] euros for the fiscal year ending December 31, 2015; Sesyclau: […] euros for the same fiscal year). At least two of the concerned companies have achieved a turnover in France exceeding 15 million euros (ITM Entreprises: […] euros for the fiscal year ending December 31, 2015; Sesyclau: […] euros for the fiscal year ending December 31, 2016). Given these turnover figures, the operation does not fall under the jurisdiction of the European Union. However, the control thresholds related to retail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According to the consistent practice of national and European competition authorities, two categories of markets can be delineated in the food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of the minister responsible for the economy C.2005-98 Carrefour/Penny Market of November 10, 2005.</w:t>
      </w:r>
    </w:p>
    <w:p>
      <w:r>
        <w:t xml:space="preserve">A. DOWNSTREAM MARKETS OF DISTRIBUTION  </w:t>
        <w:br/>
        <w:t xml:space="preserve">1. PRODUCT MARKETS  </w:t>
        <w:br/>
        <w:t xml:space="preserve">7. Regarding the retail sale of everyday consumer goods, competition authorities, both European and national,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and (vi) mail order sales.  </w:t>
        <w:br/>
        <w:t xml:space="preserve">8.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However, it should be noted that these thresholds must be used with caution and may be adapted to the specific case, as stores whose area is close to a threshold (below or above) may be in direct competition.  </w:t>
        <w:br/>
        <w:t xml:space="preserve">9. Competition authorities also consider that, while each category of store retains its specificity, there is asymmetric competition between some of these categories. Indeed, a hypermarket may typically be used by some consumers as a convenience store, substituting for a supermarket. Conversely, the reverse is almost never verified and is even less so as the size of the hypermarket in question is significant. Consequently, if the target store is a hypermarket, the analysis is conducted on a market comprising only hypermarkets, on the one hand, and on a market comprising supermarkets and equivalent forms of commerce (hypermarkets, hard discount, and popular stores) excluding small retail trade (less than 400 m²), on the other hand. If the target store is a supermarket, the analysis is conducted only on the second type of market mentioned above.  </w:t>
        <w:br/>
        <w:t xml:space="preserve">10. In this case, the target business has a surface area of 950 m². It therefore falls into the category of supermarkets.  </w:t>
        <w:br/>
        <w:t xml:space="preserve">3 Decisions of the minister responsible for the economy C.2008-32 Amidis SAGC of July 9, 2008, C.2007-172 Carrefour Plane Plamidis, of February 13, 2008, C.2007-154 Système U Vergali of December 3, 2007, C.2007-05 Carrefour Sofodis of March 26, 2007, C.2006-15 Amidis Hamon of April 14, 2006, C.2005-98 Carrefour Penny Market of November 10, 2005.  </w:t>
        <w:br/>
        <w:t xml:space="preserve">4 See the decision of the Competition Authority No. 12-DCC-112 of August 3, 2012, regarding the exclusive control of the company SNC Schlecker by the company Système U Centrale Régionale Sud.  </w:t>
        <w:br/>
        <w:t xml:space="preserve">5 See in particular the opinion of the Competition Council No. 00-A-06 of May 3, 2000, regarding the acquisition by the company Carrefour of the company Promodès.  </w:t>
        <w:br/>
        <w:t>6 See the decisions of the Competition Authority No. 12-DCC-48 of April 6, 2012, regarding the exclusive control of the company Sofides by the company ITM Entreprises, No. 12-DCC-63 of May 9, 2012, regarding the exclusive control of the company Guyenne et Gascogne SA by the company Carrefour SA, and No. 13-DCC-90 of July 11, 2013, regarding the exclusive control of the company Monoprix by the company Casino Guichard-Perrachon.</w:t>
      </w:r>
    </w:p>
    <w:p>
      <w:r>
        <w:rPr>
          <w:b/>
        </w:rPr>
        <w:t>[Pages 4–5]</w:t>
      </w:r>
    </w:p>
    <w:p>
      <w:r>
        <w:t xml:space="preserve">2. GEOGRAPHICAL DELIMITATION  </w:t>
        <w:br/>
        <w:t xml:space="preserve">11. In its decisions concerning operations involving hypermarkets or supermarkets, the Competition Authority has reiterated that two types of markets are usually distinguished, based on catchment areas7:  </w:t>
        <w:br/>
        <w:t xml:space="preserve">- a first market where the demand of consumers from an area meets the supply of hypermarkets accessible to them within less than 30 minutes by car and which are, from their point of view, substitutable with each other;  </w:t>
        <w:br/>
        <w:t xml:space="preserve">- a second market where the demand of consumers meets the supply of supermarkets and equivalent forms of commerce, located within less than 15 minutes by car. These latter forms of commerce may include, in addition to supermarkets, hypermarkets located nearby and discount stores.  </w:t>
        <w:br/>
        <w:t xml:space="preserve">12. Other criteria may nevertheless be taken into account to assess the impact of a concentration on the competitive situation in the retail distribution markets, which may lead to refining, in the specific case, the usual delimitations presented above.  </w:t>
        <w:br/>
        <w:t xml:space="preserve">13. In the specific case, the target business falling into the category of supermarkets, the competitive analysis will be conducted on a market including hypermarkets, supermarkets, and equivalent forms of commerce located within a 15-minute driving radius around the target business.  </w:t>
        <w:br/>
        <w:t xml:space="preserve">B. UPSTREAM SUPPLY MARKETS  </w:t>
        <w:br/>
        <w:t xml:space="preserve">14. Regarding supply markets, the European Commission8 and national competition authorities9 have recognized the existence of markets of national dimension by major product groups.  </w:t>
        <w:br/>
        <w:t xml:space="preserve">15. There is no need to challenge this delimitation in the context of the present operation.  </w:t>
        <w:br/>
        <w:t xml:space="preserve">III. Competitive Analysis  </w:t>
        <w:br/>
        <w:t xml:space="preserve">16. In the downstream market of food distribution, including supermarkets and equivalent forms of commerce located within a 15-minute driving radius around the target business located in Saint-Amand-Montrond (18), the Intermarché brand will hold [30-40]% of the sales areas in the zone ([5-10]% for the target business).  </w:t>
        <w:br/>
        <w:t xml:space="preserve">17. Intermarché stores in the catchment area will, however, face competition from several other outlets, notably under the brands Leclerc ([20-30]%), Carrefour ([10-20]%), and Lidl ([5-10]%).  </w:t>
        <w:br/>
        <w:t xml:space="preserve">7 See decisions n° 09-DCC-24 of July 23, 2009 Floritine/C.S.F, n° 09-DCC- of May 28, 2009 Frandis/Financière Perdis, n° 09-DCC-06 of May 20, 2009 Evolis/ITM, and n° 09-DCC-04 of April 29, 2009 Carrefour/Noukat.  </w:t>
        <w:br/>
        <w:t xml:space="preserve">8 See the aforementioned decisions M.1684 and M.2115  </w:t>
        <w:br/>
        <w:t xml:space="preserve">9 See in particular the aforementioned ministerial decisions.  </w:t>
        <w:br/>
        <w:t xml:space="preserve">18. In the upstream supply markets, the operation, which concerns the change of control of a single store under a competing brand, is not likely to significantly strengthen the purchasing power of the ITM Entreprises group, across all products, as well as by major product groups.  </w:t>
        <w:br/>
        <w:t xml:space="preserve">19. Consequently, the operation is not likely to harm competition in the markets concerned.  </w:t>
        <w:br/>
        <w:t xml:space="preserve">DECIDES  </w:t>
        <w:br/>
        <w:t xml:space="preserve">Single Article: The operation notified under number 17-132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