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https://www.autoritedelaconcurrence.fr/fr/decision-de-controle-des-concentrations/relative-la-prise-de-controle-conjoint-dun-magasin-de</w:t>
      </w:r>
    </w:p>
    <w:p>
      <w:r>
        <w:t>Pages translated : 10</w:t>
      </w:r>
    </w:p>
    <w:p/>
    <w:p>
      <w:r>
        <w:rPr>
          <w:b/>
        </w:rPr>
        <w:t>[Pages 1–3]</w:t>
      </w:r>
    </w:p>
    <w:p>
      <w:r>
        <w:t xml:space="preserve">FRENCH REPUBLIC  </w:t>
        <w:br/>
        <w:t xml:space="preserve">Decision No. 14-DCC-196 of December 24, 2014  </w:t>
        <w:br/>
        <w:t xml:space="preserve">regarding the joint control of a retail store predominantly selling food  </w:t>
        <w:br/>
        <w:t xml:space="preserve">by the company Blanc Mesnil Distribution  </w:t>
        <w:br/>
        <w:t>alongside the Association of E.Leclerc Distributor Centers</w:t>
      </w:r>
    </w:p>
    <w:p>
      <w:r>
        <w:t xml:space="preserve">The Competition Authority,  </w:t>
        <w:br/>
        <w:t xml:space="preserve">Having regard to the notification file submitted in full to the merger service on November 24, 2014, regarding the joint control of a retail store predominantly selling food located in Blanc Mesnil (93) by the company Blanc Mesnil Distribution alongside the Association of E.Leclerc Distributor Centers, formalized by a business transfer agreement dated November 5, 2014;  </w:t>
        <w:br/>
        <w:t xml:space="preserve">Having regard to Book IV of the Commercial Code relating to price freedom and competition, and in particular its Articles L. 430-1 to L. 430-7;  </w:t>
        <w:br/>
        <w:t xml:space="preserve">Having regard to the supplementary elements submitted by the parties during the investigation;  </w:t>
        <w:br/>
        <w:t>Adopts the following decision:</w:t>
      </w:r>
    </w:p>
    <w:p>
      <w:r>
        <w:t xml:space="preserve">I. The concerned companies and the operation  </w:t>
        <w:br/>
        <w:t xml:space="preserve">A. THE CONCERNED COMPANIES  </w:t>
        <w:br/>
        <w:t xml:space="preserve">1. THE ACQUIRERS AND THE TARGET  </w:t>
        <w:br/>
        <w:t xml:space="preserve">1. Blanc Mesnil Distribution is a simplified joint-stock company, owned at […] % by Mr. Philippe Rondeau and his wife Mrs. Keltoum Rondeau. This company operates a hypermarket under the E.Leclerc brand, with a surface area of 9,000 m², located at 192 avenue Charles Floquet in Blanc Mesnil (93). It also controls the companies Kelteca and Blanc Mesnil Evasion, which operate respectively a perfumery under the brand Une heure pour soi, and a travel agency, both located in the shopping mall adjacent to the hypermarket.  </w:t>
        <w:br/>
        <w:t xml:space="preserve">2. The Association of E. Leclerc Distributor Centers (hereinafter "ACDLec") is the strategic body of the Leclerc movement, to which all natural persons who manage the operating companies of E.Leclerc stores are members. The ACDLec notably determines the conditions for approval to the E.Leclerc movement and signs the brand contracts that retail store operators must hold.  </w:t>
        <w:br/>
        <w:t>3. The target store is the hypermarket under the brand Les Halles d’Auchan, with a surface area of 2,800 m², located at 69 rue Descartes in Blanc Mesnil (93). This retail store predominantly selling food is currently owned by the company Safipar, a subsidiary of the Auchan group.</w:t>
      </w:r>
    </w:p>
    <w:p>
      <w:r>
        <w:t xml:space="preserve">2. THE CONTROL OF THE CONCERNED ENTITIES  </w:t>
        <w:br/>
        <w:t xml:space="preserve">4. It is argued in the notification of the operation that ACDLec does not exercise any control over Blanc Mesnil Distribution and will not exercise any control over the target store after the operation. The latter would therefore be exclusively controlled by the Rondeau spouses, and the notified operation would consist of the exclusive control of the target store by Blanc Mesnil Distribution.  </w:t>
        <w:br/>
        <w:t xml:space="preserve">5. Nevertheless, following the operation, the business assets of the target store will be held by Blanc Mesnil Distribution, which is itself jointly controlled by ACDLec and the Rondeau spouses. Indeed, as the Competition Authority has noted in previous decisions, the obligations that ACDLec imposes on the operating companies of E.Leclerc stores, such as Blanc Mesnil Distribution, allow it to exercise a decisive influence over them. This analysis of the decisive influence exercised by ACDLec is transposable to the present operation in light of the various contractual documents binding Blanc Mesnil Distribution to ACDLec.  </w:t>
        <w:br/>
        <w:t xml:space="preserve">6. Firstly, ACDLec constitutes a company within the meaning of the provisions of Article L. 430-1 of the Commercial Code insofar as it engages in an economic activity consisting notably, according to the provisions of its statutes, of (i) defining the brand policy, (ii) protecting and promoting the sign "E.Leclerc Distributor Center", (iii) controlling either for itself or on behalf of any commercial company grouping the E.Leclerc distributor centers, the conditions of management of these centers or the associated E.Leclerc centers, and (iv) contributing to the creation of any organization likely to promote the activity, solidarity, and security of its members.  </w:t>
        <w:br/>
        <w:t>7. Secondly, the holding by ACDLec of joint control over the company Blanc Mesnil Distribution before and after the operation arises from a set of indicators based notably on the possibility for ACDLec to intervene in the appointment and dismissal of the president of this company and the members of its management committee, in the commercial policy of the store held by the operating company, and in the transfer of shares of the latter.</w:t>
      </w:r>
    </w:p>
    <w:p>
      <w:r>
        <w:t xml:space="preserve">The possibility to intervene in the appointment and dismissal of the president of the company Blanc Mesnil Distribution  </w:t>
        <w:br/>
        <w:t xml:space="preserve">8. ACDLec has a veto right over the appointment and exercise of the functions of the president of the company Blanc Mesnil Distribution. The statutes of this company provide that a "management committee" appoints and dismisses, by simple majority, the president of the company, while the latter assumes "the general management of the company". The management committee, which "assists the president of the company in the management of the company", has decision-making power regarding several strategic issues (decisions relating to loans, decisions to take or transfer any direct or indirect interests in any companies, decisions concerning all operations relating to real estate), drafts an annual management report, and sets forth the proposals for allocation and distribution of results to be presented to the partners.  </w:t>
        <w:br/>
        <w:t xml:space="preserve">9. It follows from these stipulations that ACDLec is able to exercise, through the management committee of Blanc Mesnil Distribution, control over the latter. The members of the management committee are, in addition to the Rondeau spouses and the regional supply center Scapnor, all legal entities whose representative is a manager of an E. Leclerc center, and therefore linked to ACDLec by sign or brand contracts. The members of the management committee and their president also provide their endorsement to the Rondeau spouses within the framework of a sponsorship contract, which states "that due to the fundamental assistance provided in various forms by the E.LECLERC movement and by the sponsors of the member, it has been provided (...) for management, administration, or oversight functions in favor of the sponsors, within said company". Furthermore, it follows from the sponsorship contract that the Rondeau spouses will not have any influence over the evolution of the composition of the management committee of Blanc Mesnil Distribution insofar as "the sponsored parties prohibit themselves from proposing the dismissal of the sponsors who are members of the management committee of their companies".  </w:t>
        <w:br/>
        <w:t xml:space="preserve">5. Which will remain unchanged following the operation. These statutes correspond to the "model statutes" of simplified joint-stock companies approved by ACDLec. In accordance with the charter of Leclerc members, since 2002, any new member of the Leclerc movement must have the operating company of the store they manage adopt statutes of SAS whose model has been validated by ACDLec (charter of members of the Leclerc movement, p. 20).  </w:t>
        <w:br/>
        <w:t xml:space="preserve">6. Article 16 of the statutes of Blanc Mesnil Distribution.  </w:t>
        <w:br/>
        <w:t xml:space="preserve">7. Article 17 of the statutes of Blanc Mesnil Distribution.  </w:t>
        <w:br/>
        <w:t xml:space="preserve">8. In accordance with the provisions of the charter of members of the Leclerc movement (p. 14), which provides that the sponsorship committee (referred to as the management committee in the case of Blanc Mesnil Distribution) is composed of at least three sponsors, members of the association, including one main sponsor, the members of the management committee of Blanc Mesnil Distribution are, in addition to the Rondeau spouses, the company Sodiam Exploitation, represented by Mr. Benjamin Voisin, the company Soclidis, represented by Mr. Hubert Delahaye, and the company Sodico Expansion, represented by Mr. Dominique Vegnaduzzo. The companies Sodiam Exploitation, Soclidis, and Sodico Expansion are companies with statutes corresponding to the "model statutes" of simplified joint-stock companies approved by ACDLec. The notifying party indicated that the composition of the management committee of Blanc Mesnil Distribution would remain unchanged following the operation.  </w:t>
        <w:br/>
        <w:t xml:space="preserve">9. The notifying party provided the sponsorship contract signed by the Rondeau spouses to operate an E. Leclerc shopping center located ZAC Gustave Eiffel – Avenue Charles Floquet, in Blanc Mesnil (93) and including a hypermarket operated by the company Blanc Mesnil Distribution. The notifying party indicated that an amendment to this sponsorship contract would be signed between the Rondeau spouses and their sponsors, that following the operation, the sponsors of Blanc Mesnil Distribution would remain the same as before the operation, and that the amendment would only concern the application of the guarantees given by the sponsors to the commitments made to the banks for the acquisition of the target business assets.  </w:t>
        <w:br/>
        <w:t>10. See p. 8 of the sponsorship contract signed by the Rondeau spouses.</w:t>
      </w:r>
    </w:p>
    <w:p>
      <w:r>
        <w:rPr>
          <w:b/>
        </w:rPr>
        <w:t>[Pages 4–6]</w:t>
      </w:r>
    </w:p>
    <w:p>
      <w:r>
        <w:t>"prohibit themselves, in general, from any behavior aimed at, if not intended to, oust the sponsors or representatives of the E. Leclerc movement."11.</w:t>
      </w:r>
    </w:p>
    <w:p>
      <w:r>
        <w:t>10. More generally, only members of ACDLec (or the operating companies they manage) can operate a store under the E.Leclerc brand, join Galec or a general supply cooperative of the E.Leclerc movement, this status requiring holding a sign (or brand) contract signed with ACDLec12, granting the right to use the E.Leclerc brand. Since ACDLec is not obliged to grant this right to use the E.Leclerc brand, nor to justify any refusals13, and since it can withdraw this right to use the E.Leclerc brand pursuant to stipulations of the sign or brand contract which leave it with a very broad margin of discretion14, ACDLec can control the appointment of the president, but also that of the members of the management committee of Blanc Mesnil Distribution.</w:t>
      </w:r>
    </w:p>
    <w:p>
      <w:r>
        <w:t>The intervention in the commercial policy of operating companies</w:t>
      </w:r>
    </w:p>
    <w:p>
      <w:r>
        <w:t>11. ACDLec15 imposes, in the sign contracts, in the charter of members of the E.Leclerc movement16 and in directives, disseminated by its regional delegates who ensure their proper application17, two series of obligations. These obligations significantly limit the autonomy of members in conducting their commercial policy. In this case, these obligations apply to Mr. Rondeau as president of Blanc Mesnil Distribution18 and signatory, with ACDLec, of a sign contract19.</w:t>
      </w:r>
    </w:p>
    <w:p>
      <w:r>
        <w:t>12. Firstly, the association receives all documents necessary for assessing the commercial operation of the stores by their managers. Members must therefore send their balance sheet and income statement each year as well as, monthly, the turnover of the previous month20.</w:t>
      </w:r>
    </w:p>
    <w:p>
      <w:r>
        <w:t>13. Secondly, ACDLec also imposes, in the brand contracts, obligations that give it a decisive role in the commercial strategy of the stores. These contracts indeed provide that members cannot apply margins higher than those practiced for wholesale sales and that, in any case, members commit "never to apply a margin higher than those recommended by ACDLec"21. However, the setting of the margin rate is the essential element that conditions the commercial profitability of a retail brand. The charter of ACDLec members expressly states that each member is required to respect the pricing policy of the E.Leclerc movement, which constitutes "one of the essential elements of belonging to ACDLec. (...) The average index to be achieved to ensure the overall competitiveness of the brand is 96.5. Every member must strive to meet the set objective and, in any case, have a comprehensive index at OPUS lower than 97.5. Non-compliance with this pricing rule leads to the implementation of a disciplinary procedure, a warning from ACDLec penalizes any excess, three consecutive warnings may lead to expulsion from the association"22. It follows that, in practice, ACDLec is indeed able to correct the commercial policy of E.Leclerc store operating companies.</w:t>
      </w:r>
    </w:p>
    <w:p>
      <w:r>
        <w:t>14. Furthermore, the brand contracts impose obligations on members that precisely frame their supply and investments23. Members are also required not to operate or manage any other commercial enterprise24, even if it has a similar activity. In addition to these obligations imposed by ACDLec in the brand contracts, ACDLec members are required to comply with the obligations set forth in the charter of members of the E.Leclerc movement25 and by directives outlining the brand policy developed by the strategic committee of ACDLec26, and disseminated by its regional delegates27. Any breach of these obligations may justify the withdrawal of the right to use the E.Leclerc brand28.</w:t>
      </w:r>
    </w:p>
    <w:p>
      <w:r>
        <w:t>The possibility to intervene in the transfer of shares of operating companies</w:t>
      </w:r>
    </w:p>
    <w:p>
      <w:r>
        <w:t>15. The various statutory provisions or contractual stipulations applicable make it difficult to transfer shares of Blanc Mesnil Distribution to a person outside the E.Leclerc movement.</w:t>
      </w:r>
    </w:p>
    <w:p>
      <w:r>
        <w:t>16. Regarding the transfer of shares by the majority shareholder, several obligations provided in the statutes of Blanc Mesnil Distribution obstruct this:</w:t>
        <w:br/>
        <w:t>- any total or partial transfer of shares held by a partner must be subject to a "prior offer of transfer" to the other partners29; and</w:t>
        <w:br/>
        <w:t>- if the other partners have not expressed their intention to acquire the shares within a period of two years after the presentation of the prior offer of transfer, the transferor may contract with a third party, subject to notifying the transfer to each of the partners, who then have a period of 30 days to indicate whether they intend to exercise their right of preemption. In the absence of a response within this period, they are deemed to have waived the right to acquire the transferred shares30.</w:t>
      </w:r>
    </w:p>
    <w:p>
      <w:r>
        <w:t>17. In total, it follows from all the elements noted above, and notably from the possibility for ACDLec to intervene in the administration and commercial policy as well as in the transfer of shares of Blanc Mesnil Distribution, that ACDLec has the possibility to exercise a decisive influence over it and will continue to have this possibility following the transaction.</w:t>
      </w:r>
    </w:p>
    <w:p>
      <w:r>
        <w:t>B. THE TRANSACTION</w:t>
      </w:r>
    </w:p>
    <w:p>
      <w:r>
        <w:t>18. The transaction, formalized by a business transfer agreement signed on November 5, 2014, involves the acquisition by the Rondeau spouses, via the company Blanc Mesnil Distribution, of the business assets of the target store, the hypermarket located at 69, rue Descartes, Le Blanc Mesnil (93).</w:t>
      </w:r>
    </w:p>
    <w:p>
      <w:r>
        <w:t>19. Insofar as it results in the joint control of the target store by Blanc Mesnil Distribution alongside ACDLec, the transaction constitutes a concentration within the meaning of Article L. 430-1 of the Commercial Code.</w:t>
      </w:r>
    </w:p>
    <w:p>
      <w:r>
        <w:t>20. The companies concerned operate retail stores and together achieve a total worldwide turnover of more than 75 million euros (E.Leclerc movement: […] euros for the fiscal year ending December 31, 201331; Rondeau spouses: […] euros for the fiscal year ending September 30, 201332; the target store: […] euros for the same fiscal year). At least two of these companies achieve a turnover in France exceeding 15 million euros in the retail sector (E.Leclerc movement: […] euros for the fiscal year ending December 31, 2013; Rondeau spouses: […] euros for the fiscal year ending September 30, 2013; the target store: […] euros for the same fiscal year). Given these turnover figures, the transaction does not fall under the jurisdiction of the European Union. On the other hand, the control thresholds mentioned in II of Article L. 430-2 of the Commercial Code are exceeded. This transaction is therefore subject to the provisions of Articles L. 430-3 and following of the Commercial Code relating to economic concentrations.</w:t>
      </w:r>
    </w:p>
    <w:p>
      <w:r>
        <w:t>II. Definition of relevant markets</w:t>
      </w:r>
    </w:p>
    <w:p>
      <w:r>
        <w:t>21. The markets concerned by the transaction fall within the food distribution sector.</w:t>
      </w:r>
    </w:p>
    <w:p>
      <w:r>
        <w:rPr>
          <w:b/>
        </w:rPr>
        <w:t>[Pages 7–9]</w:t>
      </w:r>
    </w:p>
    <w:p>
      <w:r>
        <w:t>22. According to the consistent practice of national and community competition authorities, two categories of markets can be delineated in the food retail sector. These are the "downstream" markets that bring together retail businesses and consumers for the sale of consumer goods, and the "upstream" supply markets where businesses, as buyers, are in contact with the manufacturers of the products.</w:t>
      </w:r>
    </w:p>
    <w:p>
      <w:r>
        <w:t>A. UPSTREAM SUPPLY MARKETS</w:t>
      </w:r>
    </w:p>
    <w:p>
      <w:r>
        <w:t>23. Regarding supply markets, the European Commission has recognized the existence of markets of national dimension by major product groups, a delineation followed by national authorities.</w:t>
      </w:r>
    </w:p>
    <w:p>
      <w:r>
        <w:t>24. There is no need to challenge this delineation in the context of the present transaction.</w:t>
      </w:r>
    </w:p>
    <w:p>
      <w:r>
        <w:t>B. DOWNSTREAM DISTRIBUTION MARKETS</w:t>
      </w:r>
    </w:p>
    <w:p>
      <w:r>
        <w:t>1. SERVICE MARKETS</w:t>
      </w:r>
    </w:p>
    <w:p>
      <w:r>
        <w:t>25. Regarding the retail sale of everyday consumer goods, both community and national competition authorities have distinguished six categories of commerce using several criteria, including store size, sales techniques, accessibility, the nature of the service provided, and the range of products offered: (i) hypermarkets, (ii) supermarkets, (iii) specialized retail, (iv) small retail, (v) discount stores, (vi) mail order sales.</w:t>
      </w:r>
    </w:p>
    <w:p>
      <w:r>
        <w:t>26. Hypermarkets are usually defined as food-dominant stores with a sales area equal to or greater than 2,500 m², supermarkets as food-dominant stores with a sales area less than 2,500 m² and greater than 400 m², and convenience stores as food-dominant stores with a sales area less than 400 m² and greater than 120 m². However, it should be noted that these thresholds must be used with caution and may be adapted to the specific case, given that stores whose area is near a threshold, either below or above, may be in direct competition in practice.</w:t>
      </w:r>
    </w:p>
    <w:p>
      <w:r>
        <w:t>27. In this case, the target store operated by Auchan prior to the transaction under the brand Les Halles d’Auchan is a hypermarket with a sales area of 2,800 m².</w:t>
      </w:r>
    </w:p>
    <w:p>
      <w:r>
        <w:t>33 See for example the decisions of the European Commission M.1684, Carrefour / Promodès of January 25, 2000; and M.2115, Carrefour / GB, of September 28, 2000.</w:t>
      </w:r>
    </w:p>
    <w:p>
      <w:r>
        <w:t>34 See in particular the decisions of the minister in the sector, C2005-98 Carrefour/Penny Market of November 10, 2005, C2006-15 Carrefour/Groupe Hamon of April 14, 2006, C2007-172 regarding the creation of the joint venture Plamidis of February 13, 2008, and C2008-32 Carrefour/SAGC of July 9, 2008, as well as the decisions of the Competition Authority no. 11-DCC-45, no. 13-DCC-112 of August 19, 2013 regarding the exclusive control of the company Hypercoop by the Association of E.Leclerc Distributor Centers or no. 13-DCC-12 of January 28, 2013 regarding the joint control of the companies Nobladis and Sodirev by the Cornac group and the Association of E.Leclerc Distributor Centers.</w:t>
      </w:r>
    </w:p>
    <w:p>
      <w:r>
        <w:t>35 See the decision of the Competition Authority no. 12-DCC-112 of August 3, 2012 regarding the exclusive control of the company SNC Schlecker by the company Système U Centrale Régionale Sud.</w:t>
      </w:r>
    </w:p>
    <w:p>
      <w:r>
        <w:t>36 See in particular opinion no. 00-A-06 of the Council of May 3, 2000 regarding the acquisition by the company Carrefour of the company Promodès.</w:t>
      </w:r>
    </w:p>
    <w:p>
      <w:r>
        <w:t>2. GEOGRAPHICAL DELIMITATION</w:t>
      </w:r>
    </w:p>
    <w:p>
      <w:r>
        <w:t>28. It follows from decision-making practice that the conditions of competition are assessed over two different areas depending on the size of the stores:</w:t>
        <w:br/>
        <w:t>- a market where consumer demand meets the supply of supermarkets and equivalent forms of commerce located within 15 minutes of driving time. These latter forms of commerce may include, in addition to supermarkets, hypermarkets located near consumers and discount stores;</w:t>
        <w:br/>
        <w:t>- a second market where consumer demand from one area meets the supply of hypermarkets that they can access within 30 minutes of driving time and which are, from their perspective, substitutable for each other.</w:t>
      </w:r>
    </w:p>
    <w:p>
      <w:r>
        <w:t>29. However, the attractiveness of stores of the same format may vary depending on the density and quality of the commercial equipment in an area. The socio-economic characteristics of the area in question (population density, economic activity, geography, state of the road network) may also lead to refining, in the specific case, the usual delimitations presented above.</w:t>
      </w:r>
    </w:p>
    <w:p>
      <w:r>
        <w:t>30. The Authority has noted in its decision regarding the Casino/Monoprix transaction that certain characteristics of large provincial cities and nearby suburbs of Paris (population density, traffic conditions) could justify retaining smaller catchment areas for hypermarkets and supermarkets. It thus analyzed the effects of the transaction both in areas corresponding to the decision-making practice applicable to the rest of the national territory and in more restricted areas, corresponding to a travel time of 10 minutes by car around target supermarkets and in areas corresponding to a travel time of 20 minutes when it came to hypermarkets.</w:t>
      </w:r>
    </w:p>
    <w:p>
      <w:r>
        <w:t>31. The question of the exact delimitation of relevant markets in large provincial cities and nearby suburbs of Paris may be left open insofar as, regardless of the segmentation considered, the conclusions of the competitive analysis will remain unchanged.</w:t>
      </w:r>
    </w:p>
    <w:p>
      <w:r>
        <w:t>32. In this case, the target point of sale falling into the category of hypermarkets and located in Blanc Mesnil (93), the competitive analysis will be conducted on the following markets:</w:t>
        <w:br/>
        <w:t>- the market including all hypermarkets, supermarkets, and equivalent forms of commerce located within a catchment area of 15 minutes and 10 minutes around the target point of sale;</w:t>
        <w:br/>
        <w:t>- the market including all hypermarkets located within a catchment area of 30 minutes and 20 minutes around the target point of sale.</w:t>
      </w:r>
    </w:p>
    <w:p>
      <w:r>
        <w:t>37 See in particular the decisions of the Competition Authority no. 11-DCC-04 of January 28, 2011 regarding the exclusive control of the company Mafical by the company ITM Alimentaire Région parisienne; decision no. 11-DCC-05 of January 17, 2011 regarding the exclusive control of the company Distri Sud-Ouest by the company Retail Leader Price Investissement, decision no. 11-DCC-45 of March 18, 2011 regarding the exclusive control of the business assets of the hypermarket Cora Desmarais by the company Sodex Desmarais, no. 12-DCC-63 regarding the exclusive control of the company Guyenne et Gascogne SA by the company Carrefour SA or the decisions 13-DCC-12 of January 28, 2013 and no. 13-DCC-112 of August 19, 2013 mentioned above.</w:t>
      </w:r>
    </w:p>
    <w:p>
      <w:r>
        <w:t>38 Bordeaux, Nantes, Rennes, Lille, Strasbourg, Marseille, Toulouse, Nice, Montpellier, and Lyon.</w:t>
      </w:r>
    </w:p>
    <w:p>
      <w:r>
        <w:t>39 The Authority also analyzed the effects of the transaction in these cities in areas corresponding to a travel time of 20 minutes by car around the target stores when it came to hypermarkets. There is no target hypermarket in this case.</w:t>
      </w:r>
    </w:p>
    <w:p>
      <w:r>
        <w:t>III. Competitive Analysis</w:t>
      </w:r>
    </w:p>
    <w:p>
      <w:r>
        <w:t>A. DOWNSTREAM DISTRIBUTION MARKETS</w:t>
      </w:r>
    </w:p>
    <w:p>
      <w:r>
        <w:t>33. In the market including supermarkets and equivalent forms of commerce located within a 15 or 10-minute driving distance from the hypermarket in Blanc Mesnil, the target store represents less than 4% of the sales areas and other points of sale under the Leclerc brand represent approximately 10% of the sales areas, resulting in a combined market share between 9% and 10.6%. The parties will face competition from several competing brands, including Carrefour (which represents between 35% and 55% of the areas in the zones corresponding to 15 and 10 minutes of travel, respectively) and Auchan (between 15.7% and 14.4%).</w:t>
      </w:r>
    </w:p>
    <w:p>
      <w:r>
        <w:t>34. In the market including hypermarkets located within a travel time of 30 or 20 minutes around the hypermarket in Blanc Mesnil, the target store represents less than 1% of the sales areas and other points of sale under the Leclerc brand represent approximately 20% of the sales areas, resulting in a combined market share of about 21%. The parties will face competition from six competing brands, including Carrefour (which represents between 44.4% and 46.6% of the areas in the zones corresponding to 30 and 20 minutes of travel, respectively) and Auchan (between 22.9% and 24.9%).</w:t>
      </w:r>
    </w:p>
    <w:p>
      <w:r>
        <w:t>35. It follows from the above that the transaction is not likely to harm competition in the downstream markets.</w:t>
      </w:r>
    </w:p>
    <w:p>
      <w:r>
        <w:t>B. UPSTREAM SUPPLY MARKETS</w:t>
      </w:r>
    </w:p>
    <w:p>
      <w:r>
        <w:t>36. Regarding the upstream supply markets, the transaction concerns only one store whose total purchases amount to […] euros, which represents less than 0.01% of the supply market. The purchasing power of the E. Leclerc movement is therefore not likely to be strengthened, both across all products and by product categories.</w:t>
      </w:r>
    </w:p>
    <w:p>
      <w:r>
        <w:t>37. Consequently, the transaction is not likely to harm competition in either the downstream distribution market or the upstream supply market.</w:t>
      </w:r>
    </w:p>
    <w:p>
      <w:r>
        <w:rPr>
          <w:b/>
        </w:rPr>
        <w:t>[Pages 10–10]</w:t>
      </w:r>
    </w:p>
    <w:p>
      <w:r>
        <w:t xml:space="preserve">DECIDES  </w:t>
        <w:br/>
        <w:t xml:space="preserve">Sole Article: The operation notified under number 14-210 is authorized.  </w:t>
        <w:br/>
        <w:t xml:space="preserve">The Vice-President,  </w:t>
        <w:br/>
        <w:t xml:space="preserve">Claire Favre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