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https://www.autoritedelaconcurrence.fr/fr/decision-de-controle-des-concentrations/relative-la-prise-de-controle-conjoint-dune-societe-0</w:t>
      </w:r>
    </w:p>
    <w:p>
      <w:r>
        <w:t>Pages translated : 5</w:t>
      </w:r>
    </w:p>
    <w:p/>
    <w:p>
      <w:r>
        <w:rPr>
          <w:b/>
        </w:rPr>
        <w:t>[Pages 1–3]</w:t>
      </w:r>
    </w:p>
    <w:p>
      <w:r>
        <w:t xml:space="preserve">FRENCH REPUBLIC  </w:t>
        <w:br/>
        <w:t xml:space="preserve">Decision No. 13-DCC-146 of October 22, 2013  </w:t>
        <w:br/>
        <w:t xml:space="preserve">regarding the joint control of a real estate civil company  </w:t>
        <w:br/>
        <w:t xml:space="preserve">for the holding of a real estate asset for EHPAD use by  </w:t>
        <w:br/>
        <w:t xml:space="preserve">Foncière Malherbe Claudel (Crédit Agricole Group) and the Caisse des  </w:t>
        <w:br/>
        <w:t>Dépôts et Consignations</w:t>
      </w:r>
    </w:p>
    <w:p>
      <w:r>
        <w:t xml:space="preserve">The Competition Authority,  </w:t>
        <w:br/>
        <w:t xml:space="preserve">Having regard to the notification file submitted in full to the concentrations service on  </w:t>
        <w:br/>
        <w:t xml:space="preserve">September 20, 2013, regarding the joint control by Foncière Malherbe Claudel and  </w:t>
        <w:br/>
        <w:t xml:space="preserve">the Caisse des Dépôts et Consignations of a real estate civil company for the acquisition and  </w:t>
        <w:br/>
        <w:t xml:space="preserve">holding of a real estate asset for EHPAD use, notably formalized by a draft  </w:t>
        <w:br/>
        <w:t xml:space="preserve">contract for the sale in future state of completion dated September 20, 2013;  </w:t>
        <w:br/>
        <w:t xml:space="preserve">Having regard to Book IV of the Commercial Code relating to the freedom of prices and  </w:t>
        <w:br/>
        <w:t xml:space="preserve">competition, and in particular its Articles L. 430-1 to L. 430-7;  </w:t>
        <w:br/>
        <w:t xml:space="preserve">Having regard to the supplementary elements transmitted by the parties during the  </w:t>
        <w:br/>
        <w:t xml:space="preserve">investigation;  </w:t>
        <w:br/>
        <w:t>Adopts the following decision:</w:t>
      </w:r>
    </w:p>
    <w:p>
      <w:r>
        <w:t xml:space="preserve">I. The concerned companies and the operation  </w:t>
        <w:br/>
        <w:t xml:space="preserve">1. Financière Malherbe Claudel (hereinafter "FMC") is a simplified joint-stock company,  </w:t>
        <w:br/>
        <w:t xml:space="preserve">100% owned by Crédit Agricole Sud Rhône Alpes, which is itself a subsidiary of the Crédit  </w:t>
        <w:br/>
        <w:t xml:space="preserve">Agricole Group (hereinafter "GCA"). The activities of GCA are divided into several areas,  </w:t>
        <w:br/>
        <w:t xml:space="preserve">which are (i) local banking in France, (ii) specialized financial services, (iii) financing and  </w:t>
        <w:br/>
        <w:t xml:space="preserve">investment banking, (iv) asset management, (v) insurance activities, (vi) private banking,  </w:t>
        <w:br/>
        <w:t xml:space="preserve">(vii) retail banking internationally, and (viii) real estate services. GCA holds and manages  </w:t>
        <w:br/>
        <w:t xml:space="preserve">real estate assets either for its own internal needs or as an investment.  </w:t>
        <w:br/>
        <w:t xml:space="preserve">2. The Caisse des Dépôts et Consignations (hereinafter "the CDC") is a public institution  </w:t>
        <w:br/>
        <w:t xml:space="preserve">with a special legal status, governed by Articles L. 518-2 and following of the Monetary and  </w:t>
        <w:br/>
        <w:t xml:space="preserve">Financial Code, which fulfills missions of general interest in support of public policies  </w:t>
        <w:br/>
        <w:t xml:space="preserve">conducted by the State and local authorities, and which carries out activities open to  </w:t>
        <w:br/>
        <w:t xml:space="preserve">competition. These are grouped around four areas: (i) personal insurance, (ii) real estate,  </w:t>
        <w:br/>
        <w:t xml:space="preserve">(iii) services, (iv) SME development and venture capital. Created by the law of April 28,  </w:t>
        <w:br/>
        <w:t xml:space="preserve">1816, the CDC is placed "under the supervision and guarantee of the legislative authority,"  </w:t>
        <w:br/>
        <w:t xml:space="preserve">this mode of governance being intended to ensure the autonomy of this institution which  </w:t>
        <w:br/>
        <w:t xml:space="preserve">manages private funds requiring special protection.  </w:t>
        <w:br/>
        <w:t xml:space="preserve">3. The target of the operation is a building to be constructed for the purpose of establishing  </w:t>
        <w:br/>
        <w:t xml:space="preserve">a residential care facility for dependent elderly persons (hereinafter "EHPAD") located in  </w:t>
        <w:br/>
        <w:t xml:space="preserve">Donzère (Drôme), with a capacity of 60 beds supplemented by 10 adapted housing units,  </w:t>
        <w:br/>
        <w:t xml:space="preserve">originating from a call for projects launched by the Regional Health Agency (ARS). By joint  </w:t>
        <w:br/>
        <w:t xml:space="preserve">order of the President of the General Council of Drôme and the Director General of the  </w:t>
        <w:br/>
        <w:t xml:space="preserve">Rhône-Alpes Regional Health Agency dated April 17, 2012, the authorization decision was  </w:t>
        <w:br/>
        <w:t xml:space="preserve">issued to the Association for the Development of Public Medical-Social Services, associated  </w:t>
        <w:br/>
        <w:t xml:space="preserve">with the Montélimar Hospital Center, which is itself in partnership on this project with the  </w:t>
        <w:br/>
        <w:t xml:space="preserve">CDC.  </w:t>
        <w:br/>
        <w:t xml:space="preserve">4. This building being acquired under a contract of sale in future state of completion (hereinafter  </w:t>
        <w:br/>
        <w:t xml:space="preserve">"VEFA"), it will therefore not generate any revenue from third parties at the time of acquisition.  </w:t>
        <w:br/>
        <w:t xml:space="preserve">However, concurrently with the VEFA, the building will be leased by the notifying parties  </w:t>
        <w:br/>
        <w:t xml:space="preserve">under a lease in future state of completion ("BEFA"), signed for a duration of fifteen years.  </w:t>
        <w:br/>
        <w:t xml:space="preserve">The lessee is the Montélimar Hospital Center, the ultimate holder of the operating  </w:t>
        <w:br/>
        <w:t xml:space="preserve">authorization for the EHPAD granted by the Regional Health Agency and the Drôme  </w:t>
        <w:br/>
        <w:t xml:space="preserve">department. The building is therefore an asset that is expected to generate revenue in the  </w:t>
        <w:br/>
        <w:t xml:space="preserve">short term and with certainty.  </w:t>
        <w:br/>
        <w:t xml:space="preserve">5. The notified operation, formalized by a draft contract of sale in future state of completion  </w:t>
        <w:br/>
        <w:t xml:space="preserve">dated September 20, 2013, consists of the acquisition of this building for EHPAD use by a  </w:t>
        <w:br/>
        <w:t xml:space="preserve">real estate civil company, SCI A2P Donzère, created for the needs of the operation, and  </w:t>
        <w:br/>
        <w:t xml:space="preserve">held 51% of the capital and voting rights by FMC and 49% by the CDC. The latter will  </w:t>
        <w:br/>
        <w:t xml:space="preserve">exercise joint control over the target asset insofar as, in accordance with the statutes and  </w:t>
        <w:br/>
        <w:t xml:space="preserve">the provisions of the draft shareholders' agreement of the SCI, strategic decisions relating  </w:t>
        <w:br/>
        <w:t xml:space="preserve">to its activity must be adopted unanimously by the partners.  </w:t>
        <w:br/>
        <w:t xml:space="preserve">6. As it results in the joint control of the target by FMC and the CDC, the operation  </w:t>
        <w:br/>
        <w:t xml:space="preserve">constitutes a concentration within the meaning of Article L. 430-1 of the Commercial Code.  </w:t>
        <w:br/>
        <w:t xml:space="preserve">7. The concerned companies together achieve a total worldwide turnover of more than 150  </w:t>
        <w:br/>
        <w:t xml:space="preserve">million euros (GCA: […] euros for the fiscal year ending December 31, 2012; CDC: […]  </w:t>
        <w:br/>
        <w:t xml:space="preserve">euros for the same fiscal year). They achieved, in France, a turnover exceeding 50 million  </w:t>
        <w:br/>
        <w:t xml:space="preserve">euros (GCA: […] euros for the fiscal year ending December 31, 2012; CDC: […] euros for  </w:t>
        <w:br/>
        <w:t xml:space="preserve">the same fiscal year). The notification thresholds of Article 1 paragraph 1 of Regulation (EC)  </w:t>
        <w:br/>
        <w:t xml:space="preserve">139/2004 are exceeded, but since each of the concerned companies generates more than two  </w:t>
        <w:br/>
        <w:t xml:space="preserve">thirds of its turnover within the Union in France, the operation does not have a  </w:t>
        <w:br/>
        <w:t xml:space="preserve">community dimension. On the other hand, the control thresholds mentioned in I of Article  </w:t>
        <w:br/>
        <w:t xml:space="preserve">L. 430-2 of the Commercial Code are exceeded. This operation is therefore subject to the  </w:t>
        <w:br/>
        <w:t xml:space="preserve">provisions of Articles L. 430-3 and following of the Commercial Code relating to economic  </w:t>
        <w:br/>
        <w:t>concentration.</w:t>
      </w:r>
    </w:p>
    <w:p>
      <w:r>
        <w:t xml:space="preserve">II. Delimitation of Relevant Markets  </w:t>
        <w:br/>
        <w:t xml:space="preserve">A. DELIMITATION OF PRODUCT AND SERVICE MARKETS  </w:t>
        <w:br/>
        <w:t xml:space="preserve">8. The operation results in an overlap of activities in the real estate services sector.  </w:t>
        <w:br/>
        <w:t xml:space="preserve">9. National and European competition authorities have considered, while leaving the question  </w:t>
        <w:br/>
        <w:t xml:space="preserve">open, different segmentations in the real estate services sector according to (i) the recipients  </w:t>
        <w:br/>
        <w:t xml:space="preserve">of the services (individuals or businesses), (ii) the pricing method (free residential real estate  </w:t>
        <w:br/>
        <w:t xml:space="preserve">and subsidized social or intermediate housing), (iii) the type of activity conducted on the  </w:t>
        <w:br/>
        <w:t xml:space="preserve">premises (offices, commercial premises, and other activity premises), and (iv) the nature of  </w:t>
        <w:br/>
        <w:t xml:space="preserve">the services or goods offered.  </w:t>
        <w:br/>
        <w:t xml:space="preserve">10. Regarding segmentation according to the nature of the services or goods offered,  </w:t>
        <w:br/>
        <w:t xml:space="preserve">decision-making practice has considered the distinction between:  </w:t>
        <w:br/>
        <w:t xml:space="preserve">(i) real estate promotion which includes construction and sale activities of real estate;  </w:t>
        <w:br/>
        <w:t xml:space="preserve">(ii) management of real estate assets for one's own account;  </w:t>
        <w:br/>
        <w:t xml:space="preserve">(iii) management of real estate assets for third parties;  </w:t>
        <w:br/>
        <w:t xml:space="preserve">(iv) administration of real estate which covers the activities of managing properties on behalf of  </w:t>
        <w:br/>
        <w:t xml:space="preserve">owners and which can be segmented between rental management and co-ownership management;  </w:t>
        <w:br/>
        <w:t xml:space="preserve">(v) real estate expertise;  </w:t>
        <w:br/>
        <w:t xml:space="preserve">(vi) real estate consulting;  </w:t>
        <w:br/>
        <w:t xml:space="preserve">(vii) intermediation in real estate transactions, within which a distinction can be made between  </w:t>
        <w:br/>
        <w:t xml:space="preserve">the sale and rental of properties.  </w:t>
        <w:br/>
        <w:t xml:space="preserve">11. In this case, the parties are simultaneously present in the market for the holding and  </w:t>
        <w:br/>
        <w:t xml:space="preserve">management of real estate assets for their own account of properties for other activities.  </w:t>
        <w:br/>
        <w:t xml:space="preserve">12. In this case, concerning a building for EHPAD use, it is appropriate to question the  </w:t>
        <w:br/>
        <w:t xml:space="preserve">opportunity to segment this market more finely according to the nature of the activities. In  </w:t>
        <w:br/>
        <w:t xml:space="preserve">this hypothesis, the parties have communicated their positions on a market that would be  </w:t>
        <w:br/>
        <w:t>limited to real estate assets for EHPAD use.</w:t>
      </w:r>
    </w:p>
    <w:p>
      <w:r>
        <w:rPr>
          <w:b/>
        </w:rPr>
        <w:t>[Pages 4–5]</w:t>
      </w:r>
    </w:p>
    <w:p>
      <w:r>
        <w:t>13. However, it is not necessary to resolve this question in the context of the present operation, as the conclusions of the analysis remain unchanged regardless of the assumptions made.</w:t>
      </w:r>
    </w:p>
    <w:p>
      <w:r>
        <w:t>B. GEOGRAPHICAL DELIMITATION OF MARKETS</w:t>
      </w:r>
    </w:p>
    <w:p>
      <w:r>
        <w:t>14. Decision-making practice7 considers that the markets for real estate services intended for individuals are of a local dimension. In contrast, operations related to real estate services markets intended for businesses have been analyzed both at the local and national level8.</w:t>
      </w:r>
    </w:p>
    <w:p>
      <w:r>
        <w:t>15. In particular, concerning the market for the holding and management of real estate assets on one's own account, competition authorities have conducted their competitive analyses at the regional or sub-regional level. In this case, the analysis will therefore be conducted at the level of the Rhône-Alpes region and at the level of the Drôme department.</w:t>
      </w:r>
    </w:p>
    <w:p>
      <w:r>
        <w:t>16. The question of the exact delimitation of relevant markets may, however, be left open in the context of the present decision, as the conclusions of the competitive analysis remain unchanged regardless of the delimitations adopted.</w:t>
      </w:r>
    </w:p>
    <w:p>
      <w:r>
        <w:t>III. Competitive Analysis</w:t>
      </w:r>
    </w:p>
    <w:p>
      <w:r>
        <w:t>17. Despite the difficulties encountered by the parties in estimating the size of the overall market for the holding and management of real estate assets for other activities, the parties have presented estimates of their respective positions in this market based on the areas of the assets they hold, recorded in m². However, regardless of the geographical level considered, whether regional or departmental, the respective positions of GCA, the CDC, and the target are always very low at [0-5] %, even when aggregated.</w:t>
      </w:r>
    </w:p>
    <w:p>
      <w:r>
        <w:t>18. In the event of a market for the holding and management of real estate assets for EHPAD use, it seems relevant to reason in terms of the number of beds, particularly due to the availability of this data at the national level. Only the CDC and the target are present in this market since GCA holds only a very limited number of real estate assets for EHPAD use, which, in any case, are not located in the Rhône-Alpes region. The position of the CDC "in terms of the number of beds" at the regional level is estimated at [0-5] % and that of the target is [0-5] %. In the departmental market of Drôme, only the target is present, thus the operation does not result in any overlap of activities.</w:t>
      </w:r>
    </w:p>
    <w:p>
      <w:r>
        <w:t>19. Consequently, the present operation is not likely to harm competition through horizontal effects in the local markets for the holding and management of real estate assets for other activities or more specifically for real estate assets for EHPAD use.</w:t>
      </w:r>
    </w:p>
    <w:p>
      <w:r>
        <w:t>20. Furthermore, the low market shares of the target and the parties in the markets concerned by the operation are not likely to create or strengthen a risk of coordination among the parent companies. Similarly, despite the presence of the parties in many other markets in the real estate sector, the operation is not likely to harm competition through vertical effects.</w:t>
      </w:r>
    </w:p>
    <w:p>
      <w:r>
        <w:t>DECIDES</w:t>
      </w:r>
    </w:p>
    <w:p>
      <w:r>
        <w:t>Sole Article: The operation notified under number 13-156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