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https://www.autoritedelaconcurrence.fr/fr/decision-de-controle-des-concentrations/relative-la-prise-de-controle-conjoint-dune-societe-1</w:t>
      </w:r>
    </w:p>
    <w:p>
      <w:r>
        <w:t>Pages translated : 5</w:t>
      </w:r>
    </w:p>
    <w:p/>
    <w:p>
      <w:r>
        <w:rPr>
          <w:b/>
        </w:rPr>
        <w:t>[Pages 1–3]</w:t>
      </w:r>
    </w:p>
    <w:p>
      <w:r>
        <w:t>FRENCH REPUBLIC</w:t>
        <w:br/>
        <w:t>Decision No. 15-DCC-92 of July 23, 2015</w:t>
        <w:br/>
        <w:t>regarding the joint control of a newly created real estate civil company</w:t>
        <w:br/>
        <w:t>for the holding of a real estate asset for use as a nursing home (EHPAD) by Foncière Malherbe Claudel (Crédit Agricole Group)</w:t>
        <w:br/>
        <w:t>and the Caisse des Dépôts et Consignations</w:t>
        <w:br/>
        <w:t>The Competition Authority,</w:t>
        <w:br/>
        <w:t>Having regard to the notification file submitted in full to the concentrations service on June 24, 2015,</w:t>
        <w:br/>
        <w:t>regarding the joint control by Foncière Malherbe Claudel and the Caisse des Dépôts et Consignations of a real estate civil company for the acquisition and holding of a real estate asset for use as a nursing home (EHPAD), formalized notably by a letter of intent dated July 25, 2014, a draft of the articles of association, and a draft Term Sheet for a lease in the future state of completion;</w:t>
        <w:br/>
        <w:t>Having regard to Book IV of the Commercial Code relating to price freedom and competition, and in particular its Articles L. 430-1 to L. 430-7;</w:t>
        <w:br/>
        <w:t>Having regard to the additional elements transmitted by the parties during the investigation;</w:t>
        <w:br/>
        <w:t>Adopts the following decision:</w:t>
        <w:br/>
        <w:t>I. The concerned companies and the operation</w:t>
        <w:br/>
        <w:t>1. Foncière Malherbe Claudel (hereinafter, "FMC") is a simplified joint-stock company, 100% owned by Crédit Agricole Sud Rhône Alpes, which is itself a subsidiary of the Crédit Agricole Group (hereinafter "GCA"). GCA's activities are divided into several poles which are (i) proximity banking in France, (ii) specialized financial services, (iii) financing and investment banking, (iv) asset management, (v) insurance activities, (vi) private banking, (vii) retail banking internationally, and (viii) real estate services. GCA holds and manages real estate assets either for the internal needs of its own activities or as an investment.</w:t>
        <w:br/>
        <w:t>2. The Caisse des Dépôts et Consignations (hereinafter, "CDC") is a public institution governed by Articles L. 518-2 and following of the Monetary and Financial Code, which carries out missions of general interest in support of public policies conducted by the State and local authorities as well as competitive activities. These are grouped around four poles: (i) personal insurance, (ii) real estate, (iii) services, (iv) SME development and venture capital. Created by the law of April 28, 1816, the CDC is placed "under the supervision and guarantee of the legislative authority"1.</w:t>
        <w:br/>
        <w:t>3. The target of the operation is a building to be constructed intended as an accommodation facility for dependent elderly persons (hereinafter, "EHPAD") located in Chasse-sur-Rhône (Isère), with a capacity of 80 beds. By joint order of the President of the General Council of Isère and the Director General of the Rhône-Alpes Regional Health Agency dated January 9, 2015, the Association for the Development of the Public Medical-Social Service (hereinafter "ADSM") was authorized, in anticipation of a transfer of authorization to the Hospital Center of Vienne, to construct this EHPAD and to operate it for a period of 15 years.</w:t>
        <w:br/>
        <w:t>4. This building being acquired under a sale contract in the future state of completion (hereinafter "VEFA"), it will not generate any revenue from third parties at the time of acquisition. However, concurrently with the VEFA, the building will be leased by the notifying parties under a lease in the future state of completion ("BEFA"), signed for a duration of 12 years. The lessee is the Hospital Center of Vienne. The building managed by the SCI is thus subject to "pre-commercialization" making the existence of revenue certain in the short term.</w:t>
        <w:br/>
        <w:t>5. The notified operation, formalized by a letter of intent dated July 25, 2014 from FMC and CDC, a draft of the articles of association of the SCI, a draft of the shareholders' agreement, and a draft Term Sheet for a lease in the future state of completion, consists of the acquisition of a building intended for EHPAD by a real estate civil company, created for the needs of the operation, which will be held at 50.1% of the capital and voting rights by FMC and at 49.9% by CDC. The latter will exercise joint control over the target asset insofar as, in accordance with the articles of association and the provisions of the draft shareholders' agreement of the SCI, strategic decisions relating to its activity must be adopted unanimously by the partners.</w:t>
        <w:br/>
        <w:t>6. As it results in the joint control of the target by FMC and CDC, the operation constitutes a concentration within the meaning of Article L. 430-1 of the Commercial Code.</w:t>
        <w:br/>
        <w:t>7. The concerned companies together achieve a total worldwide turnover of more than 150 million euros (GCA: […] euros for the fiscal year ending December 31, 2014; CDC: […] euros for the fiscal year ending December 31, 2013). They achieved, in France, a turnover exceeding 50 million euros (GCA: […] euros for the fiscal year ending December 31, 2014; CDC: […] euros for the fiscal year ending December 31, 2013). The notification thresholds of Article 1 paragraph 1 of Regulation (EC) 139/2004 are exceeded, but since each of the concerned companies generates more than two-thirds of its turnover within the Union in France, the operation does not have a European dimension. In contrast, the control thresholds mentioned in I of Article L. 430-2 of the Commercial Code are exceeded. This operation is therefore subject to the provisions of Articles L. 430-3 and following of the Commercial Code relating to economic concentration.</w:t>
        <w:br/>
        <w:t>1 See Article L. 518-2 of the Monetary and Financial Code.</w:t>
        <w:br/>
        <w:t>2</w:t>
      </w:r>
    </w:p>
    <w:p>
      <w:r>
        <w:t>II. Delimitation of Relevant Markets</w:t>
        <w:br/>
        <w:t>A. DELIMITATION OF PRODUCT AND SERVICE MARKETS</w:t>
        <w:br/>
        <w:t>8. The operation results in an overlap of activities in the real estate services sector.</w:t>
        <w:br/>
        <w:t>9. National and European competition authorities have considered, while leaving the question open, different segmentations in the real estate services sector2 according to (i) the recipients of the services (individuals or businesses), (ii) the pricing method (free residential real estate and subsidized social or intermediate housing3), (iii) the type of activity conducted on the premises (offices, commercial premises, and other activity premises4), and (iv) the nature of the services or goods offered5.</w:t>
        <w:br/>
        <w:t>10. Regarding segmentation according to the nature of the services or goods offered, decision-making practice has considered the distinction between:</w:t>
        <w:br/>
        <w:t>(i) real estate promotion which includes construction and sale activities of real estate;</w:t>
        <w:br/>
        <w:t>(ii) management of real estate assets for one's own account;</w:t>
        <w:br/>
        <w:t>(iii) management of real estate assets for third parties;</w:t>
        <w:br/>
        <w:t>(iv) administration of real estate which covers the activities of managing buildings on behalf of owners and can be segmented between rental management and co-ownership management;</w:t>
        <w:br/>
        <w:t>(v) real estate expertise;</w:t>
        <w:br/>
        <w:t>(vi) real estate consulting;</w:t>
        <w:br/>
        <w:t>(vii) intermediation in real estate transactions, within which a distinction can be made between the sale and rental of properties6.</w:t>
        <w:br/>
        <w:t>11. In this case, the parties are simultaneously present in the market for the holding and management of real estate assets for their own account of buildings for uses other than office or commercial premises.</w:t>
        <w:br/>
        <w:t>12. While leaving the question open, decision-making practice7 has considered, regarding a building intended for EHPAD, a finer segmentation of this market according to the nature of the</w:t>
        <w:br/>
        <w:t>2 See in particular the decisions of the Competition Authority No. 13-DCC-80 of July 3, 2013, No. 13-DCC-26 of March 1, 2013, No. 12-DCC-157 of November 15, 2012, No. 11-DCC-178 of December 13, 2011, No. 10-DCC-112 of September 17, 2010, No. 10-DCC-13 of January 29, 2010, No. 13-DCC-146 of October 22, 2013, as well as the letter from the Minister of Economy, Industry and Employment C2008-79 of August 22, 2008 regarding a concentration in the real estate sector and the decision of the European Commission of March 9, 2004, No. COMP/M.3370, BNP Paribas / ARI.</w:t>
        <w:br/>
        <w:t>3 See the letter from the Minister of Economy, Finance and Industry C2002-112 of November 8, 2002 to the advisors of Gecina regarding a concentration in the real estate assets sector, B.O.C.C.R.F. No. 2003-11.</w:t>
        <w:br/>
        <w:t>4 See the letter from the Minister of Economy, Finance and Industry C2003-66 of April 17, 2003 to the advisors of CBRE Holding Inc. regarding a concentration in the real estate services sector, B.O.C.C.R.F. No. 2003-11.</w:t>
        <w:br/>
        <w:t>5 Letter from the Minister of Economy, Finance and Industry C2005-126 of January 25, 2006 to the advisors of Perexia regarding a concentration in the real estate services sector, B.O.C.C.R.F. No. 2006-06; decision of the European Commission COMP/M.3370 cited above.</w:t>
        <w:br/>
        <w:t>6 See the letter from the Minister of Economy, Finance and Industry C2005-126 cited above.</w:t>
        <w:br/>
        <w:t>7 Decision No. 13-DCC-146 of October 22, 2013 regarding the joint control of a real estate civil company for the holding of a real estate asset for use as a nursing home (EHPAD) by Foncière Malherbe Claudel (Crédit Agricole Group) and the Caisse des Dépôts et Consignations.</w:t>
      </w:r>
    </w:p>
    <w:p>
      <w:r>
        <w:rPr>
          <w:b/>
        </w:rPr>
        <w:t>[Pages 4–5]</w:t>
      </w:r>
    </w:p>
    <w:p>
      <w:r>
        <w:t>activities. In this hypothesis, the parties have communicated their positions on a market that would be limited to real estate assets used exclusively for nursing homes.</w:t>
      </w:r>
    </w:p>
    <w:p>
      <w:r>
        <w:t>13. The question of the exact delineation of the relevant markets can, however, be left open as long as it has no impact on the competitive analysis.</w:t>
      </w:r>
    </w:p>
    <w:p>
      <w:r>
        <w:t>B. GEOGRAPHICAL DELINEATION OF MARKETS</w:t>
      </w:r>
    </w:p>
    <w:p>
      <w:r>
        <w:t>14. Decision-making practice considers that markets for real estate services intended for individuals are of a local dimension. In contrast, operations related to markets for real estate services intended for businesses have been analyzed both at the local and national levels.</w:t>
      </w:r>
    </w:p>
    <w:p>
      <w:r>
        <w:t>15. In particular, regarding the market for the holding and management of real estate assets on one's own account, competition authorities have conducted their competitive analyses at the regional or sub-regional level. In this case, the analysis will therefore be conducted at the scale of the Rhône-Alpes region and at the scale of the Isère department.</w:t>
      </w:r>
    </w:p>
    <w:p>
      <w:r>
        <w:t>16. The question of the exact delineation of the relevant markets can, however, be left open as long as it has no impact on the competitive analysis.</w:t>
      </w:r>
    </w:p>
    <w:p>
      <w:r>
        <w:t>III. Competitive Analysis</w:t>
      </w:r>
    </w:p>
    <w:p>
      <w:r>
        <w:t>17. Despite the difficulties encountered by the parties in estimating the size of the overall market for the holding and management of real estate assets used for other activities, they have presented estimates of their respective positions in this market based on the surface areas of the assets they hold, recorded in m². However, regardless of the geographical level retained, regional or departmental, the respective positions of GCA, the CDC, and the target are always below [0-5] %, including when aggregated.</w:t>
      </w:r>
    </w:p>
    <w:p>
      <w:r>
        <w:t>18. In the case of a market for the holding and management of real estate assets used for nursing homes, it appears relevant to reason in terms of the number of beds given the availability of this data across the national territory. The position of the CDC at the regional level is estimated at [0-5] %, that of GCA is negligible10 and that of the target amounts to [0-5] %. In the departmental market of Isère, it is [0-5] % for the CDC and [0-5] % for the target.</w:t>
      </w:r>
    </w:p>
    <w:p>
      <w:r>
        <w:t>19. Consequently, the present operation is not likely to harm competition through horizontal effects on the local markets for the holding and management of real estate assets used for other activities nor more particularly for real estate assets used for nursing homes.</w:t>
      </w:r>
    </w:p>
    <w:p>
      <w:r>
        <w:t>8 See the decision of the Competition Authority n°12-DCC-18 of February 13, 2012, regarding the exclusive control of the rental real estate company for industry and commerce by the company Icade.</w:t>
      </w:r>
    </w:p>
    <w:p>
      <w:r>
        <w:t>9 See in particular the decision 09-DCC-16 of June 22, 2009, of the Competition Authority regarding the merger between the Caisse d’Épargne and Banque Populaire groups and the letter from the Minister of Economy, Finance and Employment C2007-52, cited above.</w:t>
      </w:r>
    </w:p>
    <w:p>
      <w:r>
        <w:t>10 The market share in the Rhône-Alpes region corresponds to its participation in the nursing home of Donzères (Drôme), see the aforementioned decision n° 13-DCC-146.</w:t>
      </w:r>
    </w:p>
    <w:p>
      <w:r>
        <w:t>20. Furthermore, given the low market shares of the target and the parties in the relevant markets, the operation is not, despite the presence of the parties in many other markets in the real estate sector, likely to harm competition through vertical effects nor is it likely to create or strengthen a risk of coordination between the parent companies.</w:t>
      </w:r>
    </w:p>
    <w:p>
      <w:r>
        <w:t>DECIDES</w:t>
      </w:r>
    </w:p>
    <w:p>
      <w:r>
        <w:t>Sole Article: The operation notified under number 15-089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