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https://www.autoritedelaconcurrence.fr/fr/decision-de-controle-des-concentrations/relative-la-prise-de-controle-conjoint-dune-societe-civile</w:t>
      </w:r>
    </w:p>
    <w:p>
      <w:r>
        <w:t>Pages translated : 4</w:t>
      </w:r>
    </w:p>
    <w:p/>
    <w:p>
      <w:r>
        <w:rPr>
          <w:b/>
        </w:rPr>
        <w:t>[Pages 1–3]</w:t>
      </w:r>
    </w:p>
    <w:p>
      <w:r>
        <w:t xml:space="preserve">FRENCH REPUBLIC  </w:t>
        <w:br/>
        <w:t xml:space="preserve">Decision No. 12-DCC-157 of November 15, 2012  </w:t>
        <w:br/>
        <w:t xml:space="preserve">regarding the joint control of a real estate civil company  </w:t>
        <w:br/>
        <w:t xml:space="preserve">for the ownership of an office building located in Lyon by  </w:t>
        <w:br/>
        <w:t>the companies Prédica and the Caisse des Dépôts et Consignations</w:t>
      </w:r>
    </w:p>
    <w:p>
      <w:r>
        <w:t xml:space="preserve">The Competition Authority,  </w:t>
        <w:br/>
        <w:t xml:space="preserve">Having regard to the notification file submitted in full to the concentrations service on  </w:t>
        <w:br/>
        <w:t xml:space="preserve">October 11, 2012, regarding the joint control by Prédica and the Caisse des Dépôts et  </w:t>
        <w:br/>
        <w:t xml:space="preserve">Consignations of a real estate civil company for the ownership of an office building  </w:t>
        <w:br/>
        <w:t xml:space="preserve">located at 10-12 boulevard Vivier Merle 69003 Lyon, formalized by a bilateral promise  </w:t>
        <w:br/>
        <w:t xml:space="preserve">of sale signed on August 6, 2012;  </w:t>
        <w:br/>
        <w:t xml:space="preserve">Having regard to Book IV of the Commercial Code relating to price freedom and competition,  </w:t>
        <w:br/>
        <w:t xml:space="preserve">and in particular its Articles L. 430-1 to L. 430-7;  </w:t>
        <w:br/>
        <w:t xml:space="preserve">Having regard to the additional elements submitted by the parties during the investigation;  </w:t>
        <w:br/>
        <w:t>Adopts the following decision:</w:t>
      </w:r>
    </w:p>
    <w:p>
      <w:r>
        <w:t xml:space="preserve">I. The concerned companies and the operation  </w:t>
        <w:br/>
        <w:t xml:space="preserve">1. Prédica is a subsidiary of Crédit Agricole SA, the parent company of the Crédit Agricole group (hereinafter "GCA"). The activities of GCA are divided into several areas which are (i) local banking in France, (ii) specialized financial services, (iii) financing and investment banking, (iv) asset management, (v) insurance businesses, (vi) private banking, (vii) retail banking internationally, and (viii) real estate services. GCA is particularly active in providing real estate services through the companies Prédica and Pacifica, which own and manage real estate assets for their own account, as well as through Crédit Agricole Immobilier and its subsidiaries, specialized in real estate services.  </w:t>
        <w:br/>
        <w:t xml:space="preserve">2. The Caisse des Dépôts et Consignations (hereinafter "the CDC") is a public institution with a special legal status, governed by Articles L. 518-2 and following of the Monetary and Financial Code, which fulfills missions of general interest in support of public policies conducted by the State and local authorities, and which carries out activities open to competition. These are grouped around four areas: (i) real estate through the Société Nationale Immobilière and the company Icade, (ii) environment, (iii) services, and (iv) investment and private equity.  </w:t>
        <w:br/>
        <w:t xml:space="preserve">3. The building, located at 10-12 boulevard Vivier Merle in Lyon, is part of a complex real estate ensemble named "Oxygène." It has an area of 29,421 m², primarily for office use, and is currently owned by the company Rodamco France (hereinafter, the "target"). The office spaces are leased to SNCF, Ernst &amp; Young, AXXES, Lyon Commerce International, and AFD Technologies based on leases with a duration of several firm years.  </w:t>
        <w:br/>
        <w:t xml:space="preserve">4. The notified transaction, formalized by a bilateral promise of sale signed on August 6, 2012, by Prédica and the CDC, consists of the acquisition of the target by the SCI Tour Merle, created for the needs of the operation by Prédica and the CDC. The latter will exercise joint control over the target as they each hold 50% of the capital of the company and, in accordance with the provisions of the draft shareholders' agreement, strategic decisions relating to its activity must be adopted unanimously by the partners.  </w:t>
        <w:br/>
        <w:t xml:space="preserve">5. As it results in the joint control of the target by Prédica and the CDC, the operation constitutes a concentration within the meaning of Article L. 430-1 of the Commercial Code.  </w:t>
        <w:br/>
        <w:t>6. The concerned companies together achieve a total worldwide turnover of more than 150 million euros (GCA: […] euros for the fiscal year ending December 31, 2011; CDC: […] euros for the same fiscal year; target: […] euros for the same fiscal year). Two of them have achieved, in France, a turnover exceeding 50 million euros (GCA: […] euros for the fiscal year ending December 31, 2011; CDC: […] euros for the same fiscal year). The notification thresholds of Article 1 paragraph 1 of Regulation (EC) 139/2004 are exceeded, but since each of the concerned companies generates more than two-thirds of its turnover in the Union in France, the operation does not have a community dimension. On the other hand, the control thresholds mentioned in II of Article L. 430-2 of the Commercial Code are exceeded. This operation is therefore subject to the provisions of Articles L. 430-3 and following of the Commercial Code relating to economic concentration.</w:t>
      </w:r>
    </w:p>
    <w:p>
      <w:r>
        <w:t xml:space="preserve">II. Definition of relevant markets  </w:t>
        <w:br/>
        <w:t xml:space="preserve">A. DEFINITION OF PRODUCT AND SERVICE MARKETS  </w:t>
        <w:br/>
        <w:t xml:space="preserve">7. The operation leads to an overlap of activities of CNP, Prédica, and the target asset in certain markets of the real estate sector.  </w:t>
        <w:br/>
        <w:t xml:space="preserve">8. National and European competition authorities have considered, while leaving the question open, different segmentations in the real estate services sector according to (i) the recipients of the services (individuals or businesses), (ii) the method of price setting (free residential real estate and subsidized social or intermediate housing), (iii) the type of activity conducted on the premises (offices, commercial premises, and other activity premises), and (iv) the nature of the services or goods offered.  </w:t>
        <w:br/>
        <w:t xml:space="preserve">9. Regarding segmentation according to the nature of the services or goods offered, decision-making practice has considered the distinction between:  </w:t>
        <w:br/>
        <w:t xml:space="preserve">(i) real estate development, which includes construction and sale of real estate;  </w:t>
        <w:br/>
        <w:t xml:space="preserve">(ii) real estate asset management for own account;  </w:t>
        <w:br/>
        <w:t xml:space="preserve">(iii) real estate asset management for third-party account;  </w:t>
        <w:br/>
        <w:t xml:space="preserve">(iv) real estate administration, which covers property management activities for the account of owners and can be segmented between rental management and condominium management;  </w:t>
        <w:br/>
        <w:t xml:space="preserve">(v) real estate expertise;  </w:t>
        <w:br/>
        <w:t xml:space="preserve">(vi) real estate consulting;  </w:t>
        <w:br/>
        <w:t xml:space="preserve">(vii) intermediation in real estate transactions, within which a distinction can be made between the sale and rental of properties.  </w:t>
        <w:br/>
        <w:t xml:space="preserve">10. In this case, the parties are simultaneously present in the market for the ownership and management of real estate assets for their own account of office buildings.  </w:t>
        <w:br/>
        <w:t>11. There is no need to challenge these segmentations in the context of the present operation.</w:t>
      </w:r>
    </w:p>
    <w:p>
      <w:r>
        <w:t xml:space="preserve">B. GEOGRAPHICAL DEFINITION OF MARKETS  </w:t>
        <w:br/>
        <w:t xml:space="preserve">12. Decision-making practice considers that the markets for real estate services aimed at individuals are of a local dimension. In contrast, operations related to markets for real estate services aimed at businesses have been analyzed both at the local and national levels.  </w:t>
        <w:br/>
        <w:t>13. Specifically regarding the market for the management for own account of real estate assets for office use, for regions other than the Île-de-France region, where the most appropriate level for competitive analysis is the regional level, competition authorities have conducted their competitive analyses at the regional or sub-regional level. In this case,</w:t>
      </w:r>
    </w:p>
    <w:p>
      <w:r>
        <w:rPr>
          <w:b/>
        </w:rPr>
        <w:t>[Pages 4–4]</w:t>
      </w:r>
    </w:p>
    <w:p>
      <w:r>
        <w:t>the analysis will therefore be conducted at the scale of the Rhône-Alpes region and at the scale of the Rhône department.</w:t>
      </w:r>
    </w:p>
    <w:p>
      <w:r>
        <w:t>14. The question of the exact delimitation of the relevant markets may, however, be left open in this decision, as the conclusions of the competitive analysis remain unchanged regardless of the delimitations adopted.</w:t>
      </w:r>
    </w:p>
    <w:p>
      <w:r>
        <w:t>III. Competitive Analysis</w:t>
      </w:r>
    </w:p>
    <w:p>
      <w:r>
        <w:t>15. In the Rhône-Alpes region, the notifying parties estimated the size of the market for own-account management of office real estate assets in volume to be approximately 21.8 million m². GCA and CDC manage respectively […] m² and […] m² of offices in this region, representing approximately [0-5] % and [0-5] % of the areas. The market share of the target is [0-5] % with an area of […] m². The cumulative market share of the parties will therefore remain negligible following the transaction.</w:t>
      </w:r>
    </w:p>
    <w:p>
      <w:r>
        <w:t>16. Both at the departmental level and within the city of Lyon alone, the cumulative market shares of the parties and the target in the market for own-account management of office real estate assets will represent less than [0-5] % of the market in volume following the transaction.</w:t>
      </w:r>
    </w:p>
    <w:p>
      <w:r>
        <w:t>17. Consequently, this transaction is not likely to harm competition through horizontal effects in the market for own-account management of offices.</w:t>
      </w:r>
    </w:p>
    <w:p>
      <w:r>
        <w:t>DECIDES</w:t>
      </w:r>
    </w:p>
    <w:p>
      <w:r>
        <w:t>Sole Article: The notified transaction under number 12-163 is authorized.</w:t>
      </w:r>
    </w:p>
    <w:p>
      <w:r>
        <w:t>The President,</w:t>
        <w:br/>
        <w:t>Bruno Lasserre</w:t>
        <w:br/>
        <w:t>© Autorité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