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https://www.autoritedelaconcurrence.fr/fr/decision-de-controle-des-concentrations/relative-la-prise-de-controle-conjoint-exclusif-de-la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21-DCC-11 of January 22, 2021</w:t>
        <w:br/>
        <w:t>regarding the acquisition of joint exclusive control of the company Vinadeis</w:t>
        <w:br/>
        <w:t>by the company InVivo Wine</w:t>
        <w:br/>
        <w:t>The Competition Authority,</w:t>
      </w:r>
    </w:p>
    <w:p>
      <w:r>
        <w:t>Having regard to the complete notification file submitted to the mergers department on January 5, 2021,</w:t>
        <w:br/>
        <w:t>concerning the acquisition of exclusive control of the company Vinadeis by the company InVivo Wine formalized</w:t>
        <w:br/>
        <w:t>by a memorandum of understanding dated December 3, 2020;</w:t>
      </w:r>
    </w:p>
    <w:p>
      <w:r>
        <w:t>Having regard to Book IV of the Commercial Code relating to the freedom of prices and competition, and</w:t>
        <w:br/>
        <w:t>notably its Articles L. 430-1 to L. 430-7;</w:t>
      </w:r>
    </w:p>
    <w:p>
      <w:r>
        <w:t>Having regard to the elements submitted during the investigation by the notifying party;</w:t>
      </w:r>
    </w:p>
    <w:p>
      <w:r>
        <w:t>Adopts the following decision:</w:t>
      </w:r>
    </w:p>
    <w:p>
      <w:r>
        <w:t>1. The notified operation consists of the acquisition of exclusive control of the company Vinadeis by the company</w:t>
        <w:br/>
        <w:t>InVivo Wine, both active in the markets for the supply of wines, the marketing of still and sparkling wines, and the distribution of these products.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point I of Article L. 430-2 of the Commercial Code are exceeded. This operation is therefore subject to the provisions of Articles L. 430-3 and following of the 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20-254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