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https://www.autoritedelaconcurrence.fr/fr/decision-de-controle-des-concentrations/relative-la-prise-de-controle-conjoint-par-cnp-assurances</w:t>
      </w:r>
    </w:p>
    <w:p>
      <w:r>
        <w:t>Pages translated : 5</w:t>
      </w:r>
    </w:p>
    <w:p/>
    <w:p>
      <w:r>
        <w:rPr>
          <w:b/>
        </w:rPr>
        <w:t>[Pages 1–3]</w:t>
      </w:r>
    </w:p>
    <w:p>
      <w:r>
        <w:t xml:space="preserve">FRENCH REPUBLIC  </w:t>
        <w:br/>
        <w:t xml:space="preserve">Decision No. 11-DCC-179 of December 12, 2011  </w:t>
        <w:br/>
        <w:t xml:space="preserve">regarding the joint control by CNP Assurances and Mutavie SE of the company Axe France SAS  </w:t>
        <w:br/>
        <w:t xml:space="preserve">The Competition Authority,  </w:t>
        <w:br/>
        <w:t xml:space="preserve">Having regard to the notification file submitted in full to the concentrations service on November 9, 2011, regarding the joint control by CNP Assurances and Mutavie SE of the company AXE France SAS, formalized by a draft share transfer agreement and a draft shareholders' agreement;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CNP Assurances (hereinafter "CNP") is a public limited company governed by the Insurance Code. CNP is primarily active in the personal insurance sector in France, notably savings, retirement, and risk coverage. CNP also has a real estate portfolio as part of its investment activities.  </w:t>
        <w:br/>
        <w:t xml:space="preserve">2. Mutavie SE, a European public limited company specialized in savings and life insurance, is a subsidiary of the company Macif. The latter heads a group of companies primarily active in the property insurance sector.  </w:t>
        <w:br/>
        <w:t xml:space="preserve">3. The simplified joint-stock company Axe France is a 100% subsidiary of the German company Deka Investment GmbH. It holds full ownership of the property subject to the notified operation (hereinafter "the target") located in Paris (75).  </w:t>
        <w:br/>
        <w:t xml:space="preserve">4. The notified operation, formalized by drafts of a share transfer agreement and a shareholders' agreement, consists of the acquisition of all the shares of the company Axe France SAS. The shareholders' agreement concluded between CNP Assurance and Mutavie SE requiring the unanimity of the shareholders for the adoption of strategic decisions will confer joint control of the company Axe France SAS to CNP Assurance and Mutavie SE.  </w:t>
        <w:br/>
        <w:t xml:space="preserve">5. As it results in the joint control of Axe France SAS, the operation constitutes a concentration within the meaning of Article L.430-1 of the Commercial Code. The companies concerned together achieve a total worldwide turnover of more than 150 million euros (Macif: 6.08 billion euros for the fiscal year ending December 31, 2010; CNP: 32.3 billion euros for the same year; Axe France SAS: 7.07 million euros for the same year). Two of them have achieved, in France, a turnover exceeding 50 million euros (Macif: 6.05 billion euros for the fiscal year ending December 31, 2010; CNP: 26.1 billion euros for the same year). Given these turnover figures, the thresholds set by Article 1, paragraph 2, a) and b) of Council Regulation (EC) No. 139/2004 of January 20, 2004, are met. However, since CNP and Macif generate more than two-thirds of their turnover in France, the operation is not of Community dimension. On the other hand, the thresholds set by Article L. 430-2 of the Commercial Code are met and, consequently, the present operation is subject to the provisions of Articles L. 430-3 and following of the Commercial Code relating to economic concentration.  </w:t>
        <w:br/>
        <w:t xml:space="preserve">II. Delimitation of relevant markets  </w:t>
        <w:br/>
        <w:t xml:space="preserve">A. DELIMITATION OF PRODUCT AND SERVICE MARKETS  </w:t>
        <w:br/>
        <w:t xml:space="preserve">6. The national and Community competition authorities have considered, while leaving the question open, various segmentations in the real estate services sector according to (i) the recipients of the services (individuals or businesses), (ii) the pricing method (free residential real estate and social or intermediate housing), (iii) the type of activity carried out in the premises (offices, commercial premises, and other activity premises), and (iv) the nature of the services or goods offered.  </w:t>
        <w:br/>
        <w:t xml:space="preserve">7. Regarding the segmentation according to the nature of the services or goods offered, the decisional practice has considered the distinction between:  </w:t>
        <w:br/>
        <w:t xml:space="preserve">(i) real estate promotion which includes construction and sale activities of real estate;  </w:t>
        <w:br/>
        <w:t xml:space="preserve">(ii) the management of real estate assets for own account;  </w:t>
        <w:br/>
        <w:t xml:space="preserve">(iii) the management of real estate assets for third-party account;  </w:t>
        <w:br/>
        <w:t xml:space="preserve">(iv) the administration of real estate properties, which includes the activities of managing buildings on behalf of owners and can be segmented between rental management and co-ownership management;  </w:t>
        <w:br/>
        <w:t xml:space="preserve">(v) real estate appraisal;  </w:t>
        <w:br/>
        <w:t xml:space="preserve">(vi) real estate consulting;  </w:t>
        <w:br/>
        <w:t xml:space="preserve">(vii) brokerage in real estate transactions, an activity within which a distinction can be made between the sale and rental of buildings.  </w:t>
        <w:br/>
        <w:t xml:space="preserve">8. In this case, the parties are simultaneously present in the market for the holding and management of real estate assets for their own account of office buildings. CNP and the target are also simultaneously present in the market for the holding and management of real estate assets for their own account of commercial buildings.  </w:t>
        <w:br/>
        <w:t xml:space="preserve">9. In this regard, concerning the segmentation of the sector according to the destination of the premises, the Minister of Economy, while leaving the question open, has considered a segmentation between shopping centers and commercial premises at the foot of buildings, as well as a segmentation of shopping centers according to their size, namely:  </w:t>
        <w:br/>
        <w:t xml:space="preserve">small shopping centers (PCC), whose usable commercial area is between 5,000 and 20,000 m² and which contain between 20 and 40 shops (stores and services);  </w:t>
        <w:br/>
        <w:t xml:space="preserve">large shopping centers (GCC), whose usable commercial area is between 20,000 and 40,000 m² and which contain between 40 and 80 shops;  </w:t>
        <w:br/>
        <w:t xml:space="preserve">regional shopping centers (CCR), whose usable commercial area exceeds 40,000 m² and whose number of shops exceeds 80; and  </w:t>
        <w:br/>
        <w:t xml:space="preserve">specialized theme centers (CCT), for example, in home equipment and manufacturer shops.  </w:t>
        <w:br/>
        <w:t xml:space="preserve">10. In this case, the target, with a surface area of […] m² of commercial property occupies a very marginal position in each of the possible delimitations. Therefore, the competitive analysis will focus solely on the segment of office management.  </w:t>
        <w:br/>
        <w:t xml:space="preserve">B. GEOGRAPHICAL DELIMITATION OF MARKETS  </w:t>
        <w:br/>
        <w:t>11. The decisional practice considers that the markets for real estate services aimed at individuals are of local dimension. In contrast, operations related to markets for real estate services aimed at businesses have been analyzed both at the local and national levels.</w:t>
      </w:r>
    </w:p>
    <w:p>
      <w:r>
        <w:rPr>
          <w:b/>
        </w:rPr>
        <w:t>[Pages 4–5]</w:t>
      </w:r>
    </w:p>
    <w:p>
      <w:r>
        <w:t xml:space="preserve">12. The parties to this transaction are simultaneously active in the management of real estate assets for their own account, specifically office properties in Île-de-France, more precisely in Paris (75).  </w:t>
        <w:br/>
        <w:t xml:space="preserve">13. Regarding the Île-de-France region, the Minister of Economy noted that "the Parisian region has particular properties of continuity in urban areas. Indeed, there is a vast, highly urbanized, and homogeneous area covering most of Île-de-France, served by a comprehensive transport network; residents are always able to arbitrate between different parts of the region. This substitutability leads to a convergence in prices. Therefore, the regional level is the most appropriate for competitive analysis." For other regions, the competition authorities have conducted their competitive analyses at the regional or sub-regional level. In this case, the analysis will therefore be conducted, for Île-de-France, at the regional and departmental scale.  </w:t>
        <w:br/>
        <w:t xml:space="preserve">14. The question of the exact delimitation of the relevant markets may, however, be left open in this decision, as the conclusions of the competitive analysis remain unchanged regardless of the solutions adopted.  </w:t>
        <w:br/>
        <w:t xml:space="preserve">III. Competitive Analysis  </w:t>
        <w:br/>
        <w:t xml:space="preserve">15. The notifying parties estimated the national market for the rental management of offices at 105 million m². The new entity will therefore have a market share of [0-5] %.  </w:t>
        <w:br/>
        <w:t xml:space="preserve">16. In the Île-de-France region, the notifying parties estimated the size of the market for the management of real estate assets for own account of office properties in volume at approximately 45 million m². Macif and CNP manage approximately […] million m² and […] m² of offices in this region, representing less than [0-5] % and [0-5] % of respective market shares. With just over […] m² of office space, the market share of the target is negligible. In the market for the management for own account of offices in Île-de-France, the combined market shares of the notifying parties and the target will therefore represent a low estimated market share in volume of [0-5] %.  </w:t>
        <w:br/>
        <w:t xml:space="preserve">17. The market for the management and holding for own account of real estate assets for office use in Île-de-France is also characterized by its high fragmentation. Many operators are active in this market, such as real estate companies, including listed real estate investment companies Gecina, Silic, as well as insurance companies, investment funds, and banks.  </w:t>
        <w:br/>
        <w:t xml:space="preserve">18. For the sole department of Paris, the combined market shares of the parties and the target will represent [0-5] % of the market in volume. Consequently, this transaction is not likely to harm competition through horizontal effects in the market for the management for own account of offices.  </w:t>
        <w:br/>
        <w:t xml:space="preserve">19. Furthermore, the low combined market shares of the parties, as well as the strong competitive pressure in the relevant market, make coordination between the notifying parties unlikely. Such coordination would, in any event, have no significant effect on competition. Similarly, despite the presence of the parties in many other markets in the real estate sector, the transaction is not likely to harm competition through vertical effects.  </w:t>
        <w:br/>
        <w:t xml:space="preserve">DECIDES  </w:t>
        <w:br/>
        <w:t xml:space="preserve">Sole Article: The transaction notified under number 11-199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