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https://www.autoritedelaconcurrence.fr/fr/decision-de-controle-des-concentrations/relative-la-prise-de-controle-conjoint-par-expan-u-sud-de</w:t>
      </w:r>
    </w:p>
    <w:p>
      <w:r>
        <w:t>Pages translated : 2</w:t>
      </w:r>
    </w:p>
    <w:p/>
    <w:p>
      <w:r>
        <w:rPr>
          <w:b/>
        </w:rPr>
        <w:t>[Pages 1–2]</w:t>
      </w:r>
    </w:p>
    <w:p>
      <w:r>
        <w:t xml:space="preserve">FRENCH REPUBLIC  </w:t>
        <w:br/>
        <w:t xml:space="preserve">Decision No. 16-DCC-102 of July 21, 2016  </w:t>
        <w:br/>
        <w:t xml:space="preserve">regarding the joint control acquisition by Expan U Sud of the company  </w:t>
        <w:br/>
        <w:t xml:space="preserve">Madisso alongside the company Kermova  </w:t>
        <w:br/>
        <w:t xml:space="preserve">The Competition Authority,  </w:t>
        <w:br/>
        <w:t xml:space="preserve">Having regard to the complete notification file submitted to the mergers department on June 20, 2016,  </w:t>
        <w:br/>
        <w:t xml:space="preserve">concerning the joint control acquisition of the company Madisso operating a retail business with a food focus under the Super U brand by Expan U Sud, alongside the company Kermova, formalized by a countersigned letter of intent dated June 16, 2016, a draft transfer protocol, and draft statutes;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Expan U Sud, a subsidiary of Système U Centrale Régionale Sud, of 15% of the capital and voting rights, accompanied by veto and preference rights, of the company Madisso, operating a retail business with a food focus under the Super U brand, alongside the company Kermova, controlled by the Kerfanto family. This operation constitutes a concentration operation within the meaning of Article L. 430-1 of the Commercial Code. Given the revenues generated by the companies involved,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16-114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