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https://www.autoritedelaconcurrence.fr/fr/decision-de-controle-des-concentrations/relative-la-prise-de-controle-conjoint-par-la-caisse-des-0</w:t>
      </w:r>
    </w:p>
    <w:p>
      <w:r>
        <w:t>Pages translated : 5</w:t>
      </w:r>
    </w:p>
    <w:p/>
    <w:p>
      <w:r>
        <w:rPr>
          <w:b/>
        </w:rPr>
        <w:t>[Pages 1–3]</w:t>
      </w:r>
    </w:p>
    <w:p>
      <w:r>
        <w:t xml:space="preserve">FRENCH REPUBLIC  </w:t>
        <w:br/>
        <w:t xml:space="preserve">Decision No. 10-DCC-93 of August 16, 2010  </w:t>
        <w:br/>
        <w:t xml:space="preserve">regarding the joint control by the Caisse des Dépôts et Consignations and CNP Assurances of a building for office use  </w:t>
        <w:br/>
        <w:t xml:space="preserve">The Competition Authority,  </w:t>
        <w:br/>
        <w:t xml:space="preserve">Having regard to the notification file submitted in full to the concentrations service on July 22, 2010, regarding the joint control by the Caisse des Dépôts et Consignations and CNP Assurances of a building for office use, formalized by the synallagmatic promise of sale dated July 2, 2010;  </w:t>
        <w:br/>
        <w:t xml:space="preserve">Having regard to Book IV of the Commercial Code relating to the freedom of prices and competition, and in particular its Articles L. 430-1 to L. 430-7;  </w:t>
        <w:br/>
        <w:t xml:space="preserve">Adopts the following decision:  </w:t>
        <w:br/>
        <w:t xml:space="preserve">I. The concerned companies and the operation  </w:t>
        <w:br/>
        <w:t>1. The CDC is a public establishment governed by Articles L. 518-2 and following of the Monetary and Financial Code, which fulfills missions of general interest in support of public policies conducted by the State and local authorities (deposits on savings accounts that finance social rental housing and urban renewal, regulated deposits and consignments, pensions, and social security treasury) and which carries out activities open to competition. These are grouped around four poles: (i) personal insurance through CNP Assurances, (ii) real estate directly and through Icade and the Société Nationale Immobilière, (iii) services, through Transdev (public transport), Egedis (infrastructure engineering), Compagnie des Alpes (operation of ski resorts and leisure sites), and Belambra (operation of tourist residences with eight hotels), (iv) development of SMEs and private equity through CDC Entreprises, the Strategic Investment Fund (hereinafter "FSI"), and Qualium Investissement. The CDC group achieved a consolidated global turnover excluding taxes of [&gt;150] million euros in 2009, of which [&gt;50] million in France.</w:t>
      </w:r>
    </w:p>
    <w:p>
      <w:r>
        <w:t xml:space="preserve">2. Regarding the real estate sector, the only one concerned by the notified operation, it is represented through the Société Nationale Immobilière (hereinafter "SNI") and the company Icade (hereinafter "Icade"). The SNI is the landlord for major public reservists. As a general interest subsidiary of the CDC, it must construct and manage social and intermediate housing, whether free or subsidized rentals. Icade is a listed real estate company involved in real estate development. It is active in the real estate sector, promotion, and associated services for housing, offices, shopping centers, and public facilities.  </w:t>
        <w:br/>
        <w:t xml:space="preserve">3. CNP Assurances (hereinafter "CNP") is a public limited company with a board of directors governed by the insurance code. CNP is primarily active in the personal insurance sector in France, particularly in savings, retirement, and risk prevention. With 1.8% in balance sheet value and 2.5% in market value, CNP's real estate portfolio represents a small share of its assets. In 2009, CNP's consolidated turnover amounted to 32.6 billion euros globally, of which 26.6 billion in France.  </w:t>
        <w:br/>
        <w:t xml:space="preserve">4. The target of the operation is a building of […] m² primarily for office use, located in Paris and owned by CEREP Vivienne SARL, a subsidiary of Carlyle. It is subject to four commercial leases whose rents generated a turnover of […] million euros in 2009.  </w:t>
        <w:br/>
        <w:t xml:space="preserve">5. At the end of the operation formalized by the synallagmatic promise of sale of July 2, 2010, the target will be jointly owned by the CDC and CNP. The acquisition of the building will take place through the SAS Richelieu Vivienne, created for this purpose, and owned equally by two subsidiaries, each wholly owned by the CDC and CNP. Through the equal distribution of capital at 50% between each of the two shareholders, and under the shareholders' agreement concluded between the subsidiaries of the CDC and CNP, the envisaged operation will result in joint control of the CDC and CNP over the building.  </w:t>
        <w:br/>
        <w:t>6. As it results in the joint control of the target building of the operation, the operation constitutes a concentration within the meaning of Article L.430-1 of the Commercial Code. Given the turnover of the parties to the operation, the thresholds set out in Article 1, paragraph 2, a) and b) of Council Regulation (EC) No. 139/2004 of January 20, 2004, are met. Nevertheless, since the CDC and CNP generate more than two-thirds of their turnover in France, the operation is not of Community dimension. On the other hand, the thresholds set by Article L. 430-2 of the Commercial Code are met and, consequently, the present operation is subject to the provisions of Articles L. 430-3 and following of the Commercial Code relating to economic concentration.</w:t>
      </w:r>
    </w:p>
    <w:p>
      <w:r>
        <w:t xml:space="preserve">II. Delimitation of Relevant Markets  </w:t>
        <w:br/>
        <w:t xml:space="preserve">A. THE RELEVANT SERVICE MARKETS  </w:t>
        <w:br/>
        <w:t xml:space="preserve">7. National and Community competition authorities have considered, while leaving the question open, different segmentations in the real estate services sector1 according to (i) the recipients of the services (individuals or businesses), (ii) the pricing method (free residential real estate and subsidized social or intermediate housing)2, (iii) the type of activity conducted in the premises (offices3, commercial premises4, and other activity premises5), and (iv) the nature of the services or goods offered6.  </w:t>
        <w:br/>
        <w:t xml:space="preserve">8. Regarding segmentation according to the nature of the services or goods offered, decision-making practice has considered the distinction between:  </w:t>
        <w:br/>
        <w:t xml:space="preserve">real estate development7 which includes activities of construction and sale of real estate;  </w:t>
        <w:br/>
        <w:t xml:space="preserve">management of real estate assets for own account8;  </w:t>
        <w:br/>
        <w:t xml:space="preserve">management of real estate assets for third parties;  </w:t>
        <w:br/>
        <w:t xml:space="preserve">administration of real estate which covers the activities of managing buildings on behalf of owners and can be segmented between rental management and co-ownership management;  </w:t>
        <w:br/>
        <w:t xml:space="preserve">real estate expertise;  </w:t>
        <w:br/>
        <w:t xml:space="preserve">real estate consulting;  </w:t>
        <w:br/>
        <w:t xml:space="preserve">1 See in particular the decision of the Competition Authority No. 10-DCC-13 of January 29, 2010, regarding the exclusive control by Icade S.A. of Compagnie la Lucette S.A., the decision of the Competition Authority No. 09-DCC-16 Caisse d’Epargne / Banque Populaire, the letter from the Minister of Economy, Industry and Employment C2008-79 of August 22, 2008, to the advisors of the CDC and Eurosic companies, regarding a concentration in the real estate sector BOCCRF No. 8 bis of October 23, 2008, C2007-166, the letter from the Minister of Economy, Finance and Employment C2007-166 of December 20, 2007, to the advisors of the Nexity group, regarding a concentration in the real estate development sector, B.O.C.C.R.F. No. 2 bis of February 28, 2008, as well as the letter from the Minister of Economy, Finance and Employment C2007-82 of July 11, 2007, to the advisors of Crédit Agricole Immobilier, regarding a concentration in the real estate services sector, B.O.C.C.R.F. No. 7 bis of September 14, 2007. See the decisions of the European Commission IV/M.1289 Harbert Management/ DB / Bankers Trust / SPP/ Öhman of August 31, 1998, COMP/M.1937 Skandia Life / Dililgentia of May 11, 2000, IV/M.1975 DB / Eurobank / Lamda Development of June 15, 2000, COMP/M.2110 Deutsche Bank / SEI / JV of September 25, 2000, COMP/M.2825 Fortis AG SA / Bernheim-Comofi SA of July 9, 2002, and COMP/M.3370 BNP Paribas / ARI of March 9, 2004.  </w:t>
        <w:br/>
        <w:t xml:space="preserve">2 See the letter from the Minister of Economy, Finance and Industry C2002-112 of November 8, 2002, to the advisors of Gecina regarding a concentration in the real estate assets sector, B.O.C.C.R.F. No. 2003-1, letter from the Minister of Economy, Finance and Industry C2005-42 of May 27, 2005, to the advisors of the Caisse nationale des caisses d’épargne regarding a concentration in the real estate sector, B.O.C.C.R.F. No. 2 of March 2, 2006.  </w:t>
        <w:br/>
        <w:t xml:space="preserve">3 See the letter from the Minister of Economy, Finance and Industry C2003-66 of April 17, 2003, to the advisors of CBRE Holding Inc. regarding a concentration in the real estate services sector for which a market for office brokerage was considered, B.O.C.C.R.F. No. 2003-11.  </w:t>
        <w:br/>
        <w:t xml:space="preserve">4 See the letter from the Minister of Economy, Finance and Industry C2004-123 of July 22, 2004, to the advisors of Immobiliaria Colonial SA regarding a concentration in the commercial premises rental sector, B.O.C.C.R.F. No. 2005-9.  </w:t>
        <w:br/>
        <w:t xml:space="preserve">5 See the decision of the European Commission COMP/M.2863 Morgan Stanley / Olivetti / Telecom Italia / Tiglio of August 30, 2002.  </w:t>
        <w:br/>
        <w:t xml:space="preserve">6 Letter from the Minister of Economy, Finance and Industry C2005-126 of January 25, 2006, to the advisors of Perexia regarding a concentration in the real estate services sector, B.O.C.C.R.F. No. 2006-06; decision of the European Commission COMP/M.3370 cited above.  </w:t>
        <w:br/>
        <w:t xml:space="preserve">7 See the letter from the Minister of Economy, Finance and Employment C2007-166 cited above.  </w:t>
        <w:br/>
        <w:t>8 See the letter from the Minister of Economy, Finance and Industry C2005-126 cited above, the decision of the Minister of Economy Lehman Brothers of May 10, 2007.</w:t>
      </w:r>
    </w:p>
    <w:p>
      <w:r>
        <w:rPr>
          <w:b/>
        </w:rPr>
        <w:t>[Pages 4–5]</w:t>
      </w:r>
    </w:p>
    <w:p>
      <w:r>
        <w:t>intermediation in real estate transactions for which intermediation in purchase/sale operations is distinguished from intermediation in rental operations9.</w:t>
      </w:r>
    </w:p>
    <w:p>
      <w:r>
        <w:t>9. In the case at hand, the parties to the operation are simultaneously active in the market for the management and holding for their own account of real estate assets for office use.</w:t>
      </w:r>
    </w:p>
    <w:p>
      <w:r>
        <w:t>B. GEOGRAPHIC MARKETS</w:t>
      </w:r>
    </w:p>
    <w:p>
      <w:r>
        <w:t>10. The French and Community competition authorities have considered that the markets related to the real estate sector are of local dimension, while leaving the question open.10</w:t>
      </w:r>
    </w:p>
    <w:p>
      <w:r>
        <w:t>11. For the Île-de-France region, the Minister of Economy noted that "the Paris region has particular properties of continuity of urban areas. Indeed, there is a vast highly urbanized and homogeneous area covering most of Île-de-France, served by a comprehensive transport network; residents are always able to arbitrate between different parts of the region. This substitutability leads to a convergence at the price level. Therefore, the regional level is the most appropriate for competitive analysis."11. For other regions, the competition authorities conducted their competitive analyses at the regional or departmental level.</w:t>
      </w:r>
    </w:p>
    <w:p>
      <w:r>
        <w:t>12. The question of the exact delimitation of product and geographic markets in the real estate sector may, however, be left open in this decision, as the conclusions of the competitive analysis will remain unchanged regardless of the solutions adopted.</w:t>
      </w:r>
    </w:p>
    <w:p>
      <w:r>
        <w:t>III. Competitive Analysis</w:t>
      </w:r>
    </w:p>
    <w:p>
      <w:r>
        <w:t>13. In the Île-de-France region, the notifying parties estimated the size of the market for the management for their own account of real estate assets for office use in volume at approximately 51 million m². The CDC and CNP manage respectively […] m² and […] m² of offices in this region, representing [0-5]% and [0-5]% market shares. With just over […] m² of office space, the market share of the target is negligible. In the market for the management for their own account of offices in Île-de-France, the combined market shares of the notifying parties and the target will therefore represent a low estimated market share in volume of [0-5]%.</w:t>
      </w:r>
    </w:p>
    <w:p>
      <w:r>
        <w:t xml:space="preserve">9 See the Letter from the Minister of Economy, Finance and Industry C2005-126 cited above.  </w:t>
        <w:br/>
        <w:t xml:space="preserve">10 See in particular the decision of the Competition Authority No. 09-DCC-16 of June 22, 2009 cited above, the Letter from the Minister of Economy, Finance and Industry C2005-108 of November 25, 2005 to the boards of the company Foncière des Régions regarding a concentration in the real estate sector, the decision of the European Commission COMP/M. 2825 of July 9, 2002, Fortis AG SA / Bernheim-Comofi SA.  </w:t>
        <w:br/>
        <w:t>11 Letter from the Minister of Economy C2006-151 of January 10, 2007 SNI / EFIDIS and decision of the Competition Authority No. 10-DCC-13 cited above.</w:t>
      </w:r>
    </w:p>
    <w:p>
      <w:r>
        <w:t>14. The market for the management and holding for their own account of real estate assets for office use in Île-de-France is also characterized by its high fragmentation. Many operators are active there, such as real estate companies, including listed real estate investment companies Gecina ([…] m² or [0-5]% of the market), Cilic ([…] m² or [0-5]% of the market), Unibail ([…] m² or [0-5]% of the market), as well as insurance companies, investment funds, or banks.</w:t>
      </w:r>
    </w:p>
    <w:p>
      <w:r>
        <w:t>15. For the city of Paris alone, the combined market shares of the parties and the target will represent only [0-5]% of the market in volume.</w:t>
      </w:r>
    </w:p>
    <w:p>
      <w:r>
        <w:t>16. Consequently, the present operation is not likely to harm competition through horizontal effects in the market for the management for their own account of offices.</w:t>
      </w:r>
    </w:p>
    <w:p>
      <w:r>
        <w:t>19. Furthermore, the low combined market shares of the parties as well as the strong competitive pressure in the relevant market make coordination between the notifying parties unlikely. Such coordination would, in any case, have no significant effect on competition. Similarly, despite the presence of the parties in many other markets in the real estate sector, the operation is not likely to harm competition through vertical effects.</w:t>
      </w:r>
    </w:p>
    <w:p>
      <w:r>
        <w:t>DECIDES</w:t>
      </w:r>
    </w:p>
    <w:p>
      <w:r>
        <w:t>Sole Article: The operation notified under number 10-0098 is authorized.</w:t>
      </w:r>
    </w:p>
    <w:p>
      <w:r>
        <w:t xml:space="preserve">The Vice-President,  </w:t>
        <w:br/>
        <w:t xml:space="preserve">Françoise Aubert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