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https://www.autoritedelaconcurrence.fr/fr/decision-de-controle-des-concentrations/relative-la-prise-de-controle-conjoint-par-la-caisse-des-1</w:t>
      </w:r>
    </w:p>
    <w:p>
      <w:r>
        <w:t>Pages translated : 5</w:t>
      </w:r>
    </w:p>
    <w:p/>
    <w:p>
      <w:r>
        <w:rPr>
          <w:b/>
        </w:rPr>
        <w:t>[Pages 1–3]</w:t>
      </w:r>
    </w:p>
    <w:p>
      <w:r>
        <w:t xml:space="preserve">FRENCH REPUBLIC  </w:t>
        <w:br/>
        <w:t xml:space="preserve">Decision No. 11-DCC-178 of December 13, 2011  </w:t>
        <w:br/>
        <w:t>regarding the joint control by Caisse des Dépôts et Consignations and CNP Assurances of Malthazar SAS</w:t>
      </w:r>
    </w:p>
    <w:p>
      <w:r>
        <w:t xml:space="preserve">The Competition Authority,  </w:t>
        <w:br/>
        <w:t xml:space="preserve">Having regard to the notification file submitted in full to the concentrations service on November 7, 2011, regarding the joint control by Caisse des Dépôts et Consignations and CNP Assurances of Malthazar SAS, formalized by a share transfer agreement and a shareholders' agreement signed on July 28,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CDC is a public establishment with a special legal status, governed by Articles L. 518-2 and following of the Monetary and Financial Code, which fulfills missions of general interest in support of public policies conducted by the State and local authorities and engages in activities open to competition. These are grouped around four poles: (i) real estate through the company Icade (hereinafter "Icade") and the Société Nationale Immobilière (hereinafter "SNI"), (ii) the environment, (iii) investment and private equity, (iv) services.  </w:t>
        <w:br/>
        <w:t>2. More specifically regarding the real estate sector, which is the only one concerned by the notified operation, SNI is a subsidiary of CDC responsible for the entirety of its "general interest" rental offer, including social or intermediate housing, free or assisted rental, hostels, and residences. Furthermore, Icade is a listed real estate investment company that operates in the real estate development sector for individuals, businesses, and local authorities, and is responsible for promoting housing, offices, and shopping centers.</w:t>
      </w:r>
    </w:p>
    <w:p>
      <w:r>
        <w:t xml:space="preserve">3. CNP Assurances (hereinafter "CNP") is a public limited company governed by the Insurance Code. CNP is primarily active in the personal insurance sector in France, notably in savings, retirement, and risk coverage. CNP also holds a real estate portfolio as part of its investment activities.  </w:t>
        <w:br/>
        <w:t xml:space="preserve">4. The simplified joint-stock company Malthazar is a 100% subsidiary of MGP Malthazar SARL and holds full ownership of a building primarily used for commercial offices, shops, and activities, named "Le Balthazar" and located in Saint-Denis (93).  </w:t>
        <w:br/>
        <w:t xml:space="preserve">5. The notified operation, formalized by a share transfer agreement and a shareholders' agreement signed on July 28, 2011, involves the acquisition of all shares of Malthazar SAS by CDC and CNP, each acquiring 50%. The shareholders' agreement concluded between CDC and CNP requires the unanimity of shareholders for the adoption of strategic decisions, thus the operation will confer joint control of Malthazar SAS to CDC and CNP.  </w:t>
        <w:br/>
        <w:t>6. As it results in the joint control of Malthazar SAS, the operation constitutes a concentration within the meaning of Article L. 430-1 of the Commercial Code. The concerned companies together achieve a total worldwide turnover of more than 150 million euros (CDC: [...] billion euros for the fiscal year ending December 31, 2010; CNP: [...] billion euros for the same year; Malthazar SAS: [...] million euros for the same year). Two of them have achieved, in France, a turnover exceeding 50 million euros (CDC: [...] billion euros for the fiscal year ending December 31, 2010; CNP: [...] billion euros for the same year). Given these turnover figures, the thresholds set out in Article 1, paragraph 2, a) and b) of Council Regulation (EC) No. 139/2004 of January 20, 2004, are met. However, since CDC and CNP generate more than two-thirds of their turnover in France, the operation is not of Community dimension. On the other hand, the thresholds set by Article L. 430-2 of the Commercial Code are met and, consequently, the present operation is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7. The operation results in a horizontal overlap due to the presence of CDC and CNP in certain markets of the real estate sector.  </w:t>
        <w:br/>
        <w:t xml:space="preserve">8. National and Community competition authorities have considered, while leaving the question open, various segmentations in the real estate services sector according to (i) the recipients of the services (individuals or businesses), (ii) the pricing method (residential real estate free and assisted social or intermediate housing), (iii) the type of activity conducted on the premises (offices, commercial premises, and other activity premises), and (iv) the nature of the services or goods offered.  </w:t>
        <w:br/>
        <w:t xml:space="preserve">9. Regarding segmentation according to the nature of services or goods offered, decision-making practice has considered the distinction between:  </w:t>
        <w:br/>
        <w:t xml:space="preserve">(i) real estate development, which includes construction and sale of real estate properties;  </w:t>
        <w:br/>
        <w:t xml:space="preserve">(ii) real estate asset management for own account;  </w:t>
        <w:br/>
        <w:t xml:space="preserve">(iii) real estate asset management for third-party account;  </w:t>
        <w:br/>
        <w:t xml:space="preserve">(iv) real estate administration, which covers property management activities on behalf of owners and can be segmented between rental management and property management;  </w:t>
        <w:br/>
        <w:t xml:space="preserve">(v) real estate expertise;  </w:t>
        <w:br/>
        <w:t xml:space="preserve">(vi) real estate consulting;  </w:t>
        <w:br/>
        <w:t xml:space="preserve">(vii) intermediation in real estate transactions, within which a distinction can be made between the sale and rental of properties.  </w:t>
        <w:br/>
        <w:t xml:space="preserve">10. In this case, the parties are simultaneously present in the market for the holding and management of real estate assets for their own account for office and commercial use.  </w:t>
        <w:br/>
        <w:t xml:space="preserve">11. In this regard, concerning the segmentation of the sector according to the destination of the premises, the Minister of Economy, while leaving the question open, has considered a segmentation between shopping centers and commercial premises at the foot of buildings, as well as a segmentation of shopping centers according to their size, namely:  </w:t>
        <w:br/>
        <w:t xml:space="preserve">(i) small shopping centers (PCC), with a usable commercial area between 5,000 and 20,000 m² and containing between 20 and 40 shops (stores and services);  </w:t>
        <w:br/>
        <w:t xml:space="preserve">(ii) large shopping centers (GCC), with a usable commercial area between 20,000 and 40,000 m² and containing between 40 and 80 shops;  </w:t>
        <w:br/>
        <w:t xml:space="preserve">(iii) regional shopping centers (CCR), with a usable commercial area exceeding 40,000 m² and with more than 80 shops; and  </w:t>
        <w:br/>
        <w:t>(iv) specialized theme centers (CCT), for example, in home equipment and manufacturer shops.</w:t>
      </w:r>
    </w:p>
    <w:p>
      <w:r>
        <w:rPr>
          <w:b/>
        </w:rPr>
        <w:t>[Pages 4–5]</w:t>
      </w:r>
    </w:p>
    <w:p>
      <w:r>
        <w:t xml:space="preserve">12. In this case, the building "Le Balthazar," with a surface area of […] m² for commercial use, occupies a very marginal position on each of the possible boundaries. Therefore, the competitive analysis will focus solely on the office management segment.  </w:t>
        <w:br/>
        <w:t xml:space="preserve">B. GEOGRAPHICAL DELIMITATION OF MARKETS  </w:t>
        <w:br/>
        <w:t xml:space="preserve">13. Decision-making practice considers that real estate service markets intended for individuals are of local dimension. However, operations related to real estate service markets intended for businesses have been analyzed both at the local and national level.  </w:t>
        <w:br/>
        <w:t xml:space="preserve">14. The parties to the present operation are simultaneously active in the management of real estate assets for office use on their own account in Île-de-France, more precisely in Seine-Saint-Denis (93).  </w:t>
        <w:br/>
        <w:t xml:space="preserve">15. Regarding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For other regions, competition authorities have conducted their competitive analyses at the regional or sub-regional level. In this case, the analysis will therefore be conducted at the regional level of Île-de-France and at the level of the department of Seine-Saint-Denis.  </w:t>
        <w:br/>
        <w:t xml:space="preserve">16. The question of the exact delimitation of the relevant markets may, however, be left open in this decision, as the conclusions of the competitive analysis remain unchanged regardless of the solutions adopted.  </w:t>
        <w:br/>
        <w:t xml:space="preserve">III. Competitive Analysis  </w:t>
        <w:br/>
        <w:t xml:space="preserve">17. The notifying parties estimated the national market for rental management of offices at […] million m². The combined market share of the notifying parties and the target will therefore be less than [0-5] %.  </w:t>
        <w:br/>
        <w:t xml:space="preserve">18. In the Île-de-France region, the notifying parties estimated the size of the market for managing real estate assets for office use on their own account at approximately 52.7 million m². The CDC and CNP manage respectively […] million m² and […] m² of offices in this region, which is less than [0-5] % and [0-5] % of respective market shares. With just over […] m² of office space, the market share of the target is negligible. In the market for managing offices for own account in Île-de-France, the combined market shares of the notifying parties and the target will therefore represent a low volume estimated at less than [0-5] %.  </w:t>
        <w:br/>
        <w:t xml:space="preserve">19. The market for the management and holding of real estate assets for office use in Île-de-France is also characterized by its high fragmentation. Many operators are active in this market, such as real estate companies, including publicly traded real estate investment companies such as Gecina and Silic, as well as insurance companies, investment funds, and banks.  </w:t>
        <w:br/>
        <w:t xml:space="preserve">20. For the sole department of Seine-Saint-Denis, the combined market shares of the parties and the target will represent less than [5-10] % of the market in volume. Therefore, the present operation is not likely to harm competition through horizontal effects in the market for managing offices for own account.  </w:t>
        <w:br/>
        <w:t xml:space="preserve">21. Furthermore, the low combined market shares of the parties, along with the strong competitive pressure in the relevant market, make coordination between the notifying parties unlikely. Such coordination would, in any case, have no significant effect on competition. Similarly, despite the presence of the parties in many other markets in the real estate sector, the operation is not likely to harm competition through vertical effects.  </w:t>
        <w:br/>
        <w:t xml:space="preserve">DECIDES  </w:t>
        <w:br/>
        <w:t xml:space="preserve">Sole Article: The notified operation under number 11-197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