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https://www.autoritedelaconcurrence.fr/fr/decision-de-controle-des-concentrations/relative-la-prise-de-controle-conjoint-par-la-caisse-des-2</w:t>
      </w:r>
    </w:p>
    <w:p>
      <w:r>
        <w:t>Pages translated : 5</w:t>
      </w:r>
    </w:p>
    <w:p/>
    <w:p>
      <w:r>
        <w:rPr>
          <w:b/>
        </w:rPr>
        <w:t>[Pages 1–3]</w:t>
      </w:r>
    </w:p>
    <w:p>
      <w:r>
        <w:t xml:space="preserve">FRENCH REPUBLIC  </w:t>
        <w:br/>
        <w:t xml:space="preserve">Decision No. 11-DCC-193 of December 22, 2011  </w:t>
        <w:br/>
        <w:t>regarding the joint control by the Caisse des Dépôts et Consignations and CNP Assurances of the office building "Le Farman"</w:t>
      </w:r>
    </w:p>
    <w:p>
      <w:r>
        <w:t xml:space="preserve">The Competition Authority,  </w:t>
        <w:br/>
        <w:t xml:space="preserve">Having regard to the notification file submitted in full to the merger service on November 22, 2011, regarding the joint control by the Caisse des Dépôts et Consignations and CNP Assurances of the building Le Farman, formalized by a firm offer for the acquisition of the building Le Farman on November 21, 2011;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CDC is a public establishment with a special legal status, governed by Articles L. 518-2 and following of the Monetary and Financial Code, which fulfills missions of general interest in support of public policies conducted by the State and local authorities and which engages in activities open to competition. These are grouped around four poles: (i) real estate through the company Icade (hereinafter "Icade") and the Société Nationale Immobilière (hereinafter "SNI"), (ii) the environment, (iii) investment and private equity, (iv) services.  </w:t>
        <w:br/>
        <w:t xml:space="preserve">2. More specifically regarding the real estate sector, which is the only one concerned by the notified operation, the SNI is a subsidiary of the CDC responsible for its entire rental offer of "general interest," namely social or intermediate housing, free or subsidized rental, housing and residence, barracks, and home ownership. Furthermore, Icade is a publicly traded real estate investment company that operates in the real estate development sector for individuals, businesses, and local authorities, and is responsible for investment and promotion for residential, office, and commercial real estate.  </w:t>
        <w:br/>
        <w:t xml:space="preserve">3. CNP Assurances (hereinafter "CNP") is a public limited company governed by the insurance code. CNP is primarily active in the personal insurance sector in France, notably in savings, retirement, and provident risk. CNP also holds a real estate portfolio as part of its investment activities. CNP is owned 39.99% by the Caisse des Dépôts et Consignations, 35.48% by the holding company Sopassure (itself owned 50.1% by Banque Postale and 49.9% by BPCE), and 1.09% by the State. The remaining share of the capital, 23.43%, is held by the public. It follows from this capital distribution as well as the statutes of CNP that it is not controlled exclusively or jointly by any of its shareholders.  </w:t>
        <w:br/>
        <w:t xml:space="preserve">4. The building "Le Farman" is a new building primarily used as offices located on rue Henry Farman in the 15th arrondissement of Paris, bordering Issy-les-Moulineaux. The building is currently owned by SNC Farman Bara.  </w:t>
        <w:br/>
        <w:t xml:space="preserve">5. The notified operation, formalized by a firm offer to acquire the building "Le Farman" signed on November 21, 2011, consists of the acquisition of all the shares of the building Le Farman by a SCI controlled respectively by the CDC and CNP at 50%. The shareholders' agreement concluded between the CDC and CNP requiring the unanimity of the shareholders for the adoption of strategic decisions, the operation will confer joint control of the building "Le Farman" to the CDC and CNP.  </w:t>
        <w:br/>
        <w:t>6. Insofar as it results in the joint control of the building "Le Farman," the operation constitutes a concentration within the meaning of Article L.430-1 of the Commercial Code. The concerned companies together achieve a total worldwide turnover of more than 150 million euros (CDC: […] billion euros for the fiscal year ending December 31, 2010; CNP: […] billion euros for the same year). They achieved, in France, a turnover exceeding 50 million euros (CDC: […] billion euros for the fiscal year ending December 31, 2010; CNP: […] billion euros for the same year). Given these turnover figures, the thresholds set out in Article 1, paragraph 2, a) and b) of Council Regulation (EC) No. 139/2004 of January 20, 2004 are met. However, since the CDC and CNP generate more than two-thirds of their turnover in France, the operation is not of Community dimension. On the other hand, the thresholds set by Article L. 430-2 of the Commercial Code are met and, consequently, the present operation is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7. The national and community competition authorities have considered, while leaving the question open, various segmentations in the real estate services sector according to (i) the recipients of the services (individuals or businesses), (ii) the method of price determination (free residential real estate and subsidized social or intermediate housing), (iii) the type of activity conducted on the premises (offices, commercial premises, and other activity premises), and (iv) the nature of the services or goods offered.  </w:t>
        <w:br/>
        <w:t xml:space="preserve">8. Regarding segmentation according to the nature of the services or goods offered, decision-making practice has considered the distinction between:  </w:t>
        <w:br/>
        <w:t xml:space="preserve">(i) real estate development, which includes construction and sale of real estate;  </w:t>
        <w:br/>
        <w:t xml:space="preserve">(ii) real estate asset management for own account;  </w:t>
        <w:br/>
        <w:t xml:space="preserve">(iii) real estate asset management for third-party account;  </w:t>
        <w:br/>
        <w:t xml:space="preserve">(iv) real estate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within which a distinction can be made between the sale and rental of properties.  </w:t>
        <w:br/>
        <w:t xml:space="preserve">9. In this case, the parties are simultaneously present in the market for the holding and management of real estate assets for their own account of office buildings and commercial buildings. The operation concerning a building with an area of […] m² used exclusively as offices, the analysis will focus on the market for the holding and management of real estate assets for their own account of office buildings.  </w:t>
        <w:br/>
        <w:t xml:space="preserve">10. Furthermore, the French and community authorities have ruled on the definition of the parking lot market. It follows from decision-making practice that this market can be segmented according to the type of parking: a distinction must be made between public paid parking and private business or residential parking. French decision-making practice also distinguishes within the public paid parking market between surface public parking spaces and underground parking spaces.  </w:t>
        <w:br/>
        <w:t>11. In this case, part of the parking spaces of the target building is rented to other businesses. The parties will therefore be simultaneously present, in an extremely marginal way, in the market for private business parking.</w:t>
      </w:r>
    </w:p>
    <w:p>
      <w:r>
        <w:rPr>
          <w:b/>
        </w:rPr>
        <w:t>[Pages 4–5]</w:t>
      </w:r>
    </w:p>
    <w:p>
      <w:r>
        <w:t>B. GEOGRAPHICAL DELIMITATION OF MARKETS</w:t>
      </w:r>
    </w:p>
    <w:p>
      <w:r>
        <w:t>12. Decision-making practice considers that real estate service markets intended for individuals are of a local dimension. However, operations related to real estate service markets intended for businesses have been analyzed both at the local and national level.</w:t>
      </w:r>
    </w:p>
    <w:p>
      <w:r>
        <w:t>13. The parties to the present operation are simultaneously active in the management of real estate assets for office use on their own account in Île-de-France, more specifically in the 15th arrondissement of Paris (75).</w:t>
      </w:r>
    </w:p>
    <w:p>
      <w:r>
        <w:t>14. Regarding the Île-de-France region, the Minister of the Economy noted that "the Parisian region has particular properties of continuity of urban areas. Indeed, there exists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competition authorities have conducted their competitive analyses at the regional or sub-regional level. In this case, the analysis will be conducted at the regional scale of Île-de-France and at the local level in the area including Saint-Cloud, Boulogne, Sèvres, and Issy-Les-Moulineaux (the "Boucle Sud") where the target property is located.</w:t>
      </w:r>
    </w:p>
    <w:p>
      <w:r>
        <w:t>15. Practice has not pronounced on the geographical dimension of the market for private company parking. In any case, whether at the national, regional, or local level, the market shares of the parties are extremely marginal.</w:t>
      </w:r>
    </w:p>
    <w:p>
      <w:r>
        <w:t>16. The question of the exact delimitation of the relevant markets can thus be left open in this decision, as the conclusions of the competitive analysis remain unchanged regardless of the solutions adopted.</w:t>
      </w:r>
    </w:p>
    <w:p>
      <w:r>
        <w:t>III. Competitive Analysis</w:t>
      </w:r>
    </w:p>
    <w:p>
      <w:r>
        <w:t>17. The notifying parties estimated the national market for office rental management at 105 million m², of which approximately 52.7 million are located in Île-de-France. With […] m² of office space, the market share of the target is negligible. Consequently, the present operation is not likely to harm competition through horizontal effects in the market for own-account office management.</w:t>
      </w:r>
    </w:p>
    <w:p>
      <w:r>
        <w:t>18. Regarding the market for private parking, the notifying parties estimated its size in the Île-de-France region at approximately 1,395,175 spaces. With […] spaces, the market share of the target is negligible. Consequently, the present operation is not likely to harm competition through horizontal effects in the market for private parking.</w:t>
      </w:r>
    </w:p>
    <w:p>
      <w:r>
        <w:t>19. The CDC and the CNP manage respectively […] million m² and […] m² of offices in Île-de-France, representing less than [0-5]% of the market for own-account office management. At the local scale of the "Boucle Sud" alone, the combined market shares of the parties and the target will represent less than [10-20]% of the market.</w:t>
      </w:r>
    </w:p>
    <w:p>
      <w:r>
        <w:t>20. The market for the management and ownership for own account of real estate assets for office use in Île-de-France is also characterized by its high fragmentation. Many operators are active in this market, such as real estate companies, including listed real estate investment companies such as Gecina and Silic, as well as insurance companies, investment funds, and banks.</w:t>
      </w:r>
    </w:p>
    <w:p>
      <w:r>
        <w:t>21. Regarding private parking, the CDC and the CNP manage respectively […] and […] spaces in the Paris region, representing a combined market share of less than [0-5]%. At the level of the "Boucle Sud" alone, the combined market shares of the parties and the target will represent [10-20]% of the market by volume.</w:t>
      </w:r>
    </w:p>
    <w:p>
      <w:r>
        <w:t>22. Due to the low market shares of the target and the parties in the markets concerned by the operation, the operation is not likely to create or strengthen a risk of coordination between the parent companies. Similarly, despite the presence of the parties in many other markets in the real estate sector, the operation is not likely to harm competition through vertical effects.</w:t>
      </w:r>
    </w:p>
    <w:p>
      <w:r>
        <w:t>DECIDES</w:t>
      </w:r>
    </w:p>
    <w:p>
      <w:r>
        <w:t>Sole Article: The operation notified under number 11-225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