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https://www.autoritedelaconcurrence.fr/fr/decision-de-controle-des-concentrations/relative-la-prise-de-controle-conjoint-par-la-caisse-des-5</w:t>
      </w:r>
    </w:p>
    <w:p>
      <w:r>
        <w:t>Pages translated : 2</w:t>
      </w:r>
    </w:p>
    <w:p/>
    <w:p>
      <w:r>
        <w:rPr>
          <w:b/>
        </w:rPr>
        <w:t>[Pages 1–2]</w:t>
      </w:r>
    </w:p>
    <w:p>
      <w:r>
        <w:t xml:space="preserve">FRENCH REPUBLIC  </w:t>
        <w:br/>
        <w:t xml:space="preserve">Decision No. 22-DCC-115 of July 8, 2022  </w:t>
        <w:br/>
        <w:t xml:space="preserve">regarding the joint control acquisition by the Caisse des dépôts et consignations and Artea of a real estate complex in the future state of completion located in Valbonne  </w:t>
        <w:br/>
        <w:t xml:space="preserve">The Competition Authority,  </w:t>
        <w:br/>
        <w:t xml:space="preserve">Having regard to the complete notification file sent to the mergers department on June 21, 2022, concerning the joint control acquisition of a real estate complex in the future state of completion located in Valbonne by the Caisse des dépôts et consignations and Artea, formalized by a letter of intent dated June 17,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by the Caisse des dépôts et consignations and the company Artea of a real estate complex in the future state of completion in Valbonne (06).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