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https://www.autoritedelaconcurrence.fr/fr/decision-de-controle-des-concentrations/relative-la-prise-de-controle-conjoint-par-la-caisse-des-6</w:t>
      </w:r>
    </w:p>
    <w:p>
      <w:r>
        <w:t>Pages translated : 2</w:t>
      </w:r>
    </w:p>
    <w:p/>
    <w:p>
      <w:r>
        <w:rPr>
          <w:b/>
        </w:rPr>
        <w:t>[Pages 1–2]</w:t>
      </w:r>
    </w:p>
    <w:p>
      <w:r>
        <w:t xml:space="preserve">FRENCH REPUBLIC  </w:t>
        <w:br/>
        <w:t xml:space="preserve">Decision No. 22-DCC-256 of December 26, 2022  </w:t>
        <w:br/>
        <w:t xml:space="preserve">regarding the joint control acquisition by  </w:t>
        <w:br/>
        <w:t xml:space="preserve">the Caisse des dépôts et consignations and the company Foncière Réalités  </w:t>
        <w:br/>
        <w:t xml:space="preserve">of a real estate asset in Saint-Ouen-sur-Seine  </w:t>
        <w:br/>
        <w:t>The Competition Authority,</w:t>
      </w:r>
    </w:p>
    <w:p>
      <w:r>
        <w:t xml:space="preserve">Having regard to the complete notification file submitted to the mergers department on December 8, 2022,  </w:t>
        <w:br/>
        <w:t xml:space="preserve">concerning the joint control acquisition by the Caisse des dépôts et consignations and the  </w:t>
        <w:br/>
        <w:t xml:space="preserve">company Foncière Réalités of a real estate asset in the future state of completion located in  </w:t>
        <w:br/>
        <w:t>Saint-Ouen-sur-Seine, formalized by a term sheet dated December 7, 2022;</w:t>
      </w:r>
    </w:p>
    <w:p>
      <w:r>
        <w:t xml:space="preserve">Having regard to Book IV of the Commercial Code relating to the freedom of prices and competition, and  </w:t>
        <w:br/>
        <w:t>notably its Articles L. 430-1 to L. 430-7;</w:t>
      </w:r>
    </w:p>
    <w:p>
      <w:r>
        <w:t>Having regard to the additional elements provided by the notifying party during the investigation;</w:t>
      </w:r>
    </w:p>
    <w:p>
      <w:r>
        <w:t xml:space="preserve">Adopts the following decision:  </w:t>
        <w:br/>
        <w:t xml:space="preserve">1. The notified operation consists of the joint control acquisition by the  </w:t>
        <w:br/>
        <w:t xml:space="preserve">Caisse des dépôts et consignations and the company Foncière Réalités of a real estate asset in the future  </w:t>
        <w:br/>
        <w:t xml:space="preserve">state of completion located in Saint-Ouen-sur-Seine (93).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22-323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