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https://www.autoritedelaconcurrence.fr/fr/decision-de-controle-des-concentrations/relative-la-prise-de-controle-conjoint-par-la-caisse-des</w:t>
      </w:r>
    </w:p>
    <w:p>
      <w:r>
        <w:t>Pages translated : 5</w:t>
      </w:r>
    </w:p>
    <w:p/>
    <w:p>
      <w:r>
        <w:rPr>
          <w:b/>
        </w:rPr>
        <w:t>[Pages 1–3]</w:t>
      </w:r>
    </w:p>
    <w:p>
      <w:r>
        <w:t>FRENCH REPUBLIC</w:t>
        <w:br/>
        <w:t>Decision No. 10-DCC-189 of December 15, 2010</w:t>
        <w:br/>
        <w:t>regarding the joint control by Caisse des Dépôts et Consignations and CNP Assurances of two shopping centers</w:t>
        <w:br/>
        <w:t>The Competition Authority,</w:t>
        <w:br/>
        <w:t>Having regard to the notification file submitted in full to the merger service on November 10, 2010, regarding the joint control by Caisse des Dépôts et Consignations and CNP Assurances of two shopping centers, formalized by two synallagmatic sale promises signed on November 18, 2010;</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CDC is a public establishment with a special legal status, governed by Articles L. 518-2 and following of the Monetary and Financial Code, which fulfills missions of general interest in support of public policies conducted by the State and local authorities and which carries out activities open to competition. These are grouped around four poles: (i) real estate through the company Icade (hereinafter "Icade") and the Société Nationale Immobilière (hereinafter "SNI"), (ii) the environment, (iii) services, (iv) the development of SMEs and private equity.</w:t>
        <w:br/>
        <w:t>2. More specifically concerning the real estate sector, only involved in the notified operation, SNI is a subsidiary of CDC responsible for the entirety of its rental offer of "general interest," namely social or intermediate housing, free or assisted rental, housing and residence, barracks, and home ownership. Furthermore, Icade is a listed real estate investment company that operates in the real estate development sector for individuals, businesses, and local authorities, and is responsible in this capacity for investment and promotion for residential, office, and shopping center real estate.</w:t>
      </w:r>
    </w:p>
    <w:p>
      <w:r>
        <w:t>3. CNP Assurances (hereinafter "CNP") is a public limited company governed by the insurance code. CNP is primarily active in the personal insurance sector in France, notably in savings, retirement, and provident risk. CNP also holds a real estate portfolio as part of its investment activities.</w:t>
        <w:br/>
        <w:t>4. The notified operation, formalized by two sale promises dated November 18, 2010, involves the acquisition of two shopping centers located in Brest from the company Altarea through, on the one hand, the acquisition of shares in SNC Collet-Berger, an indirect subsidiary of Altarea holding the Espace Jaurès shopping center (hereinafter "EJ center") and, on the other hand, the acquisition of the property of the Coat ar Gueven shopping center (hereinafter "CG center"). The acquisition of the shopping centers will be carried out through the SCI Jesco, created for this purpose, and held at [&lt;50]% by CDC and [&gt;50]% by CNP. The shareholders' agreement concluded between CDC and CNP requires the unanimity of shareholders for the adoption of strategic decisions, the operation will confer joint control of the EJ and CG centers to CDC and CNP.</w:t>
        <w:br/>
        <w:t>5. Insofar as it results in the joint control of the shopping centers that are the subject of the operation, the operation constitutes a concentration within the meaning of Article L.430-1 of the Commercial Code. The concerned companies together achieve a total worldwide turnover of more than 150 million euros (CDC: […] billion euros for the fiscal year ending December 31, 2009; CNP: 32.6 billion euros for the same year; Collet-Berger: 5 million euros for the same year; CG center: 2.3 million euros for the same year). Two of them have achieved, in France, a turnover exceeding 50 million euros (CDC: […] billion euros for the fiscal year ending December 31, 2009; CNP: 26.6 billion euros for the same year). Given these turnover figures, the thresholds set by Article 1, paragraph 2, a) and b) of Council Regulation (EC) No. 139/2004 of January 20, 2004 are met. Nevertheless, since CDC and CNP generate more than two-thirds of their turnover in France, the operation is not of community dimension. However, the thresholds set by Article L. 430-2 of the Commercial Code are met and, consequently, the present operation is subject to the provisions of Articles L. 430-3 and following of the Commercial Code relating to economic concentration.</w:t>
        <w:br/>
        <w:t>II. Delimitation of relevant markets</w:t>
        <w:br/>
        <w:t>A. DELIMITATION OF PRODUCT AND SERVICE MARKETS</w:t>
        <w:br/>
        <w:t>6. National and community competition authorities have considered, while leaving the question open, various segmentations in the real estate services sector according to (i) the recipients of the services (individuals or businesses), (ii) the pricing method (free residential real estate and social or intermediate assisted housing), (iii) the type of activity carried out on the premises (offices, commercial premises, and other activity premises), and (iv) the nature of the services or goods offered.</w:t>
        <w:br/>
        <w:t>7. Regarding segmentation according to the nature of the services or goods offered, decision-making practice has considered the distinction between:</w:t>
        <w:br/>
        <w:t>(i) real estate development, which includes construction and sale of real estate properties;</w:t>
        <w:br/>
        <w:t>(ii) real estate asset management for own account;</w:t>
        <w:br/>
        <w:t>(iii) real estate asset management for third-party account;</w:t>
        <w:br/>
        <w:t>(iv) real estate administration, which covers property management activities on behalf of owners and can be segmented between rental management and co-ownership management;</w:t>
        <w:br/>
        <w:t>(v) real estate appraisal;</w:t>
        <w:br/>
        <w:t>(vi) real estate consulting;</w:t>
        <w:br/>
        <w:t>(vii) intermediation in real estate transactions, within which a distinction can be made between the sale and rental of properties.</w:t>
        <w:br/>
        <w:t>8. The parties are simultaneously present only in the market for real estate asset management for own account for commercial use. In this regard, concerning the segmentation of the sector according to the destination of the premises, the Minister of Economy, while leaving the question open, has considered a segmentation between shopping centers and commercial premises at the foot of buildings, as well as a segmentation of shopping centers according to their size:</w:t>
        <w:br/>
        <w:t>small shopping centers (PCC), with a usable commercial area between 5,000 and 20,000 m² and containing between 20 and 40 shops (stores and services);</w:t>
        <w:br/>
        <w:t>large shopping centers (GCC), with a usable commercial area between 20,000 and 40,000 m² and containing between 40 and 80 shops;</w:t>
        <w:br/>
        <w:t>regional shopping centers (CCR), with a usable commercial area exceeding 40,000 m² and with more than 80 shops; and</w:t>
        <w:br/>
        <w:t>specialized theme centers (CCT), for example, in home equipment and manufacturer shops.</w:t>
        <w:br/>
        <w:t>9. In this case, the EJ and CG centers, with respective areas of […] m² and […] m², and counting respectively […] and […] commercial units, fall into the category of PCC.</w:t>
        <w:br/>
        <w:t>10. Therefore, the competitive analysis will focus on the segment of shopping center management, and more specifically on PCC.</w:t>
      </w:r>
    </w:p>
    <w:p>
      <w:r>
        <w:rPr>
          <w:b/>
        </w:rPr>
        <w:t>[Pages 4–5]</w:t>
      </w:r>
    </w:p>
    <w:p>
      <w:r>
        <w:t xml:space="preserve">B. GEOGRAPHICAL DELIMITATION OF MARKETS  </w:t>
        <w:br/>
        <w:t xml:space="preserve">11. Decision-making practice considers that real estate services markets for individuals are of a local dimension. However, operations related to real estate services markets for businesses have been analyzed both at the local and national level.  </w:t>
        <w:br/>
        <w:t xml:space="preserve">12. More specifically regarding the segment of commercial real estate in shopping centers, the Minister of Economy has thus examined the impact of concentration operations at the regional, or even local level, as well as at the national level, particularly with regard to the characteristics of demand. Indeed, part of the demand in this market comes from nationally sized groups whose establishment strategies proceed from a logic of territorial networking, thus the relevance of the analysis at the national level cannot be excluded. Furthermore, the Minister has considered, while leaving the question open, that the market for real estate services is of a national dimension when investments are made by large professional investors.  </w:t>
        <w:br/>
        <w:t xml:space="preserve">13. The competitive analysis will therefore be conducted at the national and sub-national levels. At the sub-national level, two levels of analysis have so far been retained: the region and the agglomeration, the analysis generally being conducted at the regional level when the size of the urban area is too small to allow for a genuine competitive analysis. In this case, both levels will be considered.  </w:t>
        <w:br/>
        <w:t xml:space="preserve">14. The question of the exact delimitation of the relevant markets may, however, be left open in this decision, as the conclusions of the competitive analysis remain unchanged regardless of the solutions adopted.  </w:t>
        <w:br/>
        <w:t xml:space="preserve">III. Competitive Analysis  </w:t>
        <w:br/>
        <w:t xml:space="preserve">15. For the purposes of the competitive analysis, it emerges from decision-making practice that the position of the parties in the segment of commercial real estate in shopping centers is assessed based on three criteria: the number of shopping centers managed, the areas at stake, and the number of shops in the managed shopping centers. However, the parties have not been able to provide information specific enough to systematically verify the impact of the operation based on each of these criteria. Nevertheless, given the local nature of the contemplated operation and the modesty of the parties' activities in the relevant markets prior to the operation, the information provided is sufficient, in this case, to examine the competitive impact of the acquisition.  </w:t>
        <w:br/>
        <w:t xml:space="preserve">16. Thus, at the national level, the parties estimate that there are […] PCC in France. If we include in the analysis all the shopping centers in which each party has a stake, even a minority one, CNP holds […] PCC and CDC […]. The impact of the acquisition of the two centers that are the subject of the operation on the competitive position of CDC and CNP in the market will therefore be very limited.  </w:t>
        <w:br/>
        <w:t xml:space="preserve">17. Regarding the extent of the areas concerned, the notifying parties estimate that the area dedicated to PCC nationwide amounts to […] million m². CDC holds […] m² (i.e., [0-5]% of the total area) and CNP […] m² (less than [0-5]% of the total area). As for the PCC that are the subject of the operation, with an area of nearly […] m², they represent [&lt;1]% of the total market area. The operation will therefore not have any significant effect on competition at the national level.  </w:t>
        <w:br/>
        <w:t xml:space="preserve">18. At the regional level, CDC and CNP hold stakes only in two shopping centers, whose sizes, amounting to […] m² (Shopping Center [Confidential], held at [&lt;50]% by CDC) and […] m² (Shopping Center [Confidential], held by CNP), are below the definition of PCC. Furthermore, the shopping centers whose acquisition is contemplated represent less than 5% of the total area of PCC in the region. Additionally, the parties will face competition from operators such as Klépierre, Mercyalis, and ING, who cumulatively hold more than 50% of the area of PCC in Brittany. The small area of the sites concerned by the operation thus allows for the exclusion of any competition concerns.  </w:t>
        <w:br/>
        <w:t xml:space="preserve">19. Finally, at the agglomeration level, the acquirers do not hold any other PCC in Brest and the operation will not impact the structure of competition at the local level.  </w:t>
        <w:br/>
        <w:t xml:space="preserve">20. Therefore, this operation is not likely to harm competition.  </w:t>
        <w:br/>
        <w:t xml:space="preserve">DECIDES  </w:t>
        <w:br/>
        <w:t xml:space="preserve">Sole Article: The notified operation under number 10-0201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