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https://www.autoritedelaconcurrence.fr/fr/decision-de-controle-des-concentrations/relative-la-prise-de-controle-conjoint-par-la-famille-0</w:t>
      </w:r>
    </w:p>
    <w:p>
      <w:r>
        <w:t>Pages translated : 7</w:t>
      </w:r>
    </w:p>
    <w:p/>
    <w:p>
      <w:r>
        <w:rPr>
          <w:b/>
        </w:rPr>
        <w:t>[Pages 1–3]</w:t>
      </w:r>
    </w:p>
    <w:p>
      <w:r>
        <w:t xml:space="preserve">FRENCH REPUBLIC  </w:t>
        <w:br/>
        <w:t xml:space="preserve">Decision No. 17-DCC-231 of December 27, 2017  </w:t>
        <w:br/>
        <w:t xml:space="preserve">regarding the joint control by the Zouari family alongside  </w:t>
        <w:br/>
        <w:t>the Casino group of 125 retail stores with a focus on food distribution</w:t>
      </w:r>
    </w:p>
    <w:p>
      <w:r>
        <w:t xml:space="preserve">The Competition Authority,  </w:t>
        <w:br/>
        <w:t xml:space="preserve">Having regard to the notification file submitted in full to the merger service on November 28, 2017, regarding the joint control by the Zouari family of 125 retail stores with a focus on food distribution under the brands Leader Price, Franprix, and Casino, formalized by a memorandum of understanding dated October 13, 2017;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Franprix Leader Price Holding (hereinafter "FPLPH") is a subsidiary of the Casino Guichard Perrachon group, which encompasses all of the group's holdings in the Franprix and Leader Price networks. The Casino group is active in the food-dominated distribution sector through a network of more than 9,000 stores in France (hypermarkets, supermarkets, convenience stores, discount stores), notably under the brands Franprix, Géant Casino, Casino Supermarket, Petit Casino, Monoprix, and Leader Price. It is also present in the online distribution sector of non-food products with the brand Cdiscount. The Casino group also engages in several related activities in the real estate and banking sectors. The Casino group is ultimately controlled by the company Euris, which is itself controlled by Mr. Jean-Charles Naouri.  </w:t>
        <w:br/>
        <w:t>2. The company FZ Invest, created in 2016 and controlled by Mr. and Mrs. Zouari and their children (hereinafter, "the Zouari family"), is active in the food-dominated distribution sector through three wholly-owned subsidiaries, each operating a business under the Franprix brand.</w:t>
      </w:r>
    </w:p>
    <w:p>
      <w:r>
        <w:t xml:space="preserve">3. The Zouari family also controls, exclusively or jointly with the Casino group, several companies operating together several dozen retail businesses with a focus on food distribution under different brands belonging to the Casino group.  </w:t>
        <w:br/>
        <w:t xml:space="preserve">4. The target assets of the operation are 125 retail stores with a focus on food distribution, operated under the Franprix, Leader Price, or Casino brands, with a surface area ranging from 65 m² to 1,465 m², which are exclusively controlled by the Casino group1. Following the operation, the target stores will continue to be operated under the same brands.  </w:t>
        <w:br/>
        <w:t xml:space="preserve">5. Under the terms of the agreement concluded between FPLPH and Mr. Zouari on October 13, 2017, the operation consists of the sale by FPLPH of the 125 target stores to 4 holding companies wholly owned by the company HoldCo, which is itself wholly owned by the company JVExpansion2. The capital of JVExpansion will be held at […] % by the Zouari family, through the company FZ Invest and at […] % by the company FPLPH. JVExpansion will be equipped with a strategic committee of 3 members, within which FZ Invest will appoint 2 members. The strategic committee of JVExpansion will be competent to adopt, by simple majority, decisions concerning in particular the annual budget, any operation not provided for in the budget, and the openings, sales, and closures of stores. However, FPLPH will have a right to information, an audit right, and the ability to appoint a co-statutory auditor of JVExpansion and its subsidiaries. It will also have a preemptive right on the shares of the subsidiaries of HoldCo (itself a subsidiary of JVExpansion) holding the target stores at the end of the operation. Finally, FPLPH will have a de facto veto right over the rebranding of the stores. FPLPH will therefore exercise joint control over JVExpansion alongside FZ Invest.  </w:t>
        <w:br/>
        <w:t xml:space="preserve">6. As it results in the joint control of the 125 target stores by the Zouari family and the Casino group, the notified operation constitutes a concentration within the meaning of Article L. 430-1 of the Commercial Code.  </w:t>
        <w:br/>
        <w:t xml:space="preserve">7. The concerned companies operate several retail stores and together achieve a total worldwide turnover of more than 75 million euros (Casino: 36 billion euros in 2016; companies controlled by the Zouari family: […] euros in turnover in 2016). The concerned companies achieve in France in the retail sector a turnover exceeding 15 million euros (Casino: 18 billion in 2016; companies controlled by the Zouari family: […] euros in turnover in 2016). Given these turnover figures, the thresholds set out in Article 1, paragraph 2, a) and b) of Council Regulation (EC) No. 139/2004 of January 20, 2004 are met. Nevertheless, each of the concerned companies generates more than two-thirds of its turnover in the European Union.  </w:t>
        <w:br/>
        <w:t xml:space="preserve">1 These stores are located in Bourg-en-Bresse (01), Lagnieu (01), Chatillon-en-Michaille (01), Belley (01), Montluçon (03), Domerat (03), Bellerive s/ Allier (03), Carcassonne (11), Quillan (11), Aubagne (13), Saint Flour (15), Chateaubernard (16), Chasseneuil s/ Bonnieure (16), Ruffec (16), Mirambeau (17), Royan (17), Pont-l’Abbé-d’Arnoult (17), Saujon (17), Allassaxc (19), Gueret (23), La Souterraine (23), Bergerac (24), Terrasson-la-Villedieu (24), Sarlat (24), Le Bugue (24), Montignac (24), Thiviers (24), Uzès (30), Gratentour (31), Grenade (31), Beauzelle (31), Plaisance-du-Touch (31) (2 points de vente), Pavie (32), Saint-Médard-en-Jalles (33), Bassens (33), Mérignac (33), Pézenas (34), Castries (34), Castelnau-le-Lez (34), Puisserguier (34), L’Isle d’Abeau (38), Chonas l’Amballan (38), Chatte (38), Le-Pont-de-Beauvoisin (38), Mimizan (40), Begaar (40), Saint Étienne (42), Unieux (42), Saint Chamond (42), Le Chambon (42), Brives-Charsensac (43), Chateaubriant (44), Cahors (46), Figeac (46), Gourdon (46), Aiguillon (47), Marmande (47), Miramont-de-Guyenne (47), Vihiers (49), Reims (51), Ernée (53), Renazé (53), Clermont-Ferrand (63) (2 points de vente), Riom (63), Pau (64) (2 points de vente), Boucau (64), Lannemezan (65), Perpignan (66), Villemolaque (66), Lyon (69), Le Mans (72), Solesmes (72), Saint-Alban-Leysse (73), Drumettaz (73), Saint Félix (74), Cran-Gevrier (74), Paris (75) (11 points de vente), Sartrouville (78), Limay (78), Mantes-la-Ville (78), Elancourt (78), Montauban (82) (3 points de vente), Castelsarrasin (82), Caussade (82), Nègrepelisse (82), Sainte-Maxime (83), Mirebeau (86), Vouillé (86), Lusignan (86), Jardres (86), Limoges (81) (2 points de vente), Le Vigen (87), Saint Junien (87), Ambazac (87), Saint Léonard (88), Dourdan (91), Limours (91), Boulogne-Billancourt (92), Bagneux (92), Bourg-la-Reine (92), Asnières-sur-Seine (92), Colombes (92) (2 points de vente), Tremblay-en-France (93), Créteil (94), Saint-Maur-les-Fossés (94), Vincennes (94), Herbaly (95) and Chars (95).  </w:t>
        <w:br/>
        <w:t>2 Furthermore, the company JVExpansion will acquire a real estate portfolio consisting of the premises of 13 points of sale operated under the brands of the Casino group and/or owned by the Casino group.</w:t>
      </w:r>
    </w:p>
    <w:p>
      <w:r>
        <w:t>European in France, the operation does not fall within the competence of the European Commission.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 xml:space="preserve">II. Definition of Relevant Markets  </w:t>
        <w:br/>
        <w:t>8. According to the consistent practice of national3 and European4 competition authorities, two categories of markets can be defined in the food-dominated distribution sector: on the one hand, downstream markets, of local dimension, which involve retail businesses and consumers for the sale of consumer goods and, on the other hand, upstream supply markets where businesses as buyers are in contact with product manufacturers, of national dimension.</w:t>
      </w:r>
    </w:p>
    <w:p>
      <w:r>
        <w:t xml:space="preserve">A. UPSTREAM SUPPLY MARKETS  </w:t>
        <w:br/>
        <w:t xml:space="preserve">9. Regarding supply markets, the European Commission5 has recognized the existence of markets of national dimension by major product groups, a delimitation followed by the Competition Authority during the examination of concentration operations in this sector6.  </w:t>
        <w:br/>
        <w:t>10. There is no reason to challenge this delimitation in the context of the present operation.</w:t>
      </w:r>
    </w:p>
    <w:p>
      <w:r>
        <w:t xml:space="preserve">B. DOWNSTREAM DISTRIBUTION MARKETS  </w:t>
        <w:br/>
        <w:t xml:space="preserve">1. SERVICE MARKETS  </w:t>
        <w:br/>
        <w:t xml:space="preserve">11. Regarding the retail sale of everyday consumer goods, the decision-making practice of the Authority7 distinguishes six categories of trade based on several criteria, including store size, sales techniques, accessibility, the nature of the service provided, and the range of products offered: (i) hypermarkets (of a  </w:t>
        <w:br/>
        <w:t xml:space="preserve">3 See in particular the decision of the Competition Authority No. 12-DCC-48 of April 6, 2012, regarding the exclusive control of the company Sofides by the company ITM Entreprises, and decision No. 14-DCC-173 of November 21, 2014, regarding the exclusive control of the company Dia France SAS by the company Carrefour France SAS.  </w:t>
        <w:br/>
        <w:t xml:space="preserve">4 See in particular the decisions of the European Commission M.1221, Rewe / Meinl of February 3, 1999, and M.1684, Carrefour/ Promodès of January 25, 2000.  </w:t>
        <w:br/>
        <w:t xml:space="preserve">5 See in particular the decision of the European Commission M.1221 cited above.  </w:t>
        <w:br/>
        <w:t xml:space="preserve">6 See in particular decision No. 11-DCC-45 of March 18, 2011, regarding the acquisition of exclusive control of the business of the Cora Desmarais hypermarket by the company Sodex Desmarais.  </w:t>
        <w:br/>
        <w:t>7 See in particular the decision of the Competition Authority No. 13-DCC-90 of July 11, 2013, regarding the exclusive control of the company Monoprix by the company Casino Guichard-Perrachon.</w:t>
      </w:r>
    </w:p>
    <w:p>
      <w:r>
        <w:rPr>
          <w:b/>
        </w:rPr>
        <w:t>[Pages 4–6]</w:t>
      </w:r>
    </w:p>
    <w:p>
      <w:r>
        <w:t>legal sales area exceeding 2,500 m²), (ii) supermarkets (stores with a predominant food focus with a sales area less than 2,500 m² and greater than 400 m²), (iii) specialized retail, (iv) small retail stores (less than 400 m²), (v) discount megastores, (vi) mail-order sales.</w:t>
      </w:r>
    </w:p>
    <w:p>
      <w:r>
        <w:t>12. Within small retail stores, small self-service shops are distinguished, offering a narrow range of everyday products (an area less than 120 m²) and mini-markets, whose product offerings are slightly more extensive (an area between 120 and 400 m²).</w:t>
      </w:r>
    </w:p>
    <w:p>
      <w:r>
        <w:t>13. Competition authorities consider that, while each store category retains its specificity, there is asymmetric competition between some of these categories. They distinguish as follows:</w:t>
        <w:br/>
        <w:t>- a market comprising only hypermarkets;</w:t>
        <w:br/>
        <w:t>- a market comprising supermarkets and equivalent forms of trade (hypermarkets, hard-discount, and popular stores) excluding small retail stores (less than 400 m²).</w:t>
      </w:r>
    </w:p>
    <w:p>
      <w:r>
        <w:t>14. Regarding small retail stores, the decision-making practice of the Authority has also highlighted the existence of an asymmetric competitive relationship with other forms of trade. In certain geographical configurations, a hypermarket, a supermarket, or a hard-discount store larger than 400 m² may typically be used by some consumers as a convenience store, substituting for a mini-market, while the reverse is not true. Thus, while hypermarkets and supermarkets exert strong competition on small retail stores (less than 400 m²), the reverse is almost never verified. Convenience stores therefore face competition from other convenience stores, as well as from supermarkets, discount stores, and hypermarkets.</w:t>
      </w:r>
    </w:p>
    <w:p>
      <w:r>
        <w:t>15. Given the limited size of food stores in Paris, the decision-making practice of the Authority also considers that there is greater substitutability in Paris than in the provinces between small convenience stores (with a total area of less than 400 m²) and nearby supermarkets and hypermarkets. In light of these characteristics, the Authority adopted a specific approach by estimating that the relevant market in Paris includes all formats of generalist stores: small retail stores, supermarkets, popular stores, hard-discount stores, and hypermarkets.</w:t>
      </w:r>
    </w:p>
    <w:p>
      <w:r>
        <w:t>16. There is no need to challenge these definitions in the context of the present operation.</w:t>
      </w:r>
    </w:p>
    <w:p>
      <w:r>
        <w:t>17. In this case, the proposed operation concerns 125 food-dominated stores of which (i) 2 have a sales area of less than 120 m² (including one located in Paris); (ii) 22 have a sales area between 120 m² and 400 m² (including 11 located in Paris); and (iii) 101 have a sales area greater than 400 m² but less than 2,500 m² (including 1 located in Paris).</w:t>
      </w:r>
    </w:p>
    <w:p>
      <w:r>
        <w:t>2. GEOGRAPHICAL MARKETS</w:t>
      </w:r>
    </w:p>
    <w:p>
      <w:r>
        <w:t>18. Regarding supermarkets, it emerges from the decision-making practice of the Authority that the conditions of competition are generally assessed over an area where consumer demand meets the supply of supermarkets and equivalent forms of trade located within a 15-minute drive.</w:t>
      </w:r>
    </w:p>
    <w:p>
      <w:r>
        <w:t>19. However, the Authority has analyzed areas corresponding to a 10-minute drive from supermarkets located in the nearby suburbs of Paris and areas corresponding to a 10 and 15-minute drive from supermarkets located in the outer suburbs of Paris or in large provincial cities.</w:t>
      </w:r>
    </w:p>
    <w:p>
      <w:r>
        <w:t>20. The notifying party proposed to retain catchment areas corresponding to a 15-minute drive from the target supermarkets located in the provinces and a 10-minute drive from the target supermarkets located in the nearby suburbs of Paris.</w:t>
      </w:r>
    </w:p>
    <w:p>
      <w:r>
        <w:t>21. Regarding small retail stores, the Authority specified that this category "is characterized by a clientele primarily composed of people living within 500 meters of the point of sale, walking to the sales location and making small purchases." Thus, the effects of concentration operations concerning points of sale with an area of less than 400 m² have been examined in catchment areas corresponding to a 10-minute walk.</w:t>
      </w:r>
    </w:p>
    <w:p>
      <w:r>
        <w:t>22. The notifying party proposed to retain, for target points of sale with an area of less than 400 m² located outside Paris, catchment areas corresponding to a 10-minute walk.</w:t>
      </w:r>
    </w:p>
    <w:p>
      <w:r>
        <w:t>23. Regarding food-dominated stores located in Paris, the Authority considers that in the Paris market, "the catchment area can therefore be delineated around a radius of between 300 and 500 meters." It also specified that catchment areas of 300 meters around points of sale with an area of less than 400 m² and 500 meters around points of sale with an area greater than 400 m² could be retained.</w:t>
      </w:r>
    </w:p>
    <w:p>
      <w:r>
        <w:t>24. The notifying party proposed to retain catchment areas with a radius of 300 meters from the target point of sale when it has an area of less than 400 m²; and a radius of 500 meters from the target point of sale when it has an area greater than 400 m².</w:t>
      </w:r>
    </w:p>
    <w:p>
      <w:r>
        <w:t>25. There is no need to challenge these delineations in the context of the present operation.</w:t>
      </w:r>
    </w:p>
    <w:p>
      <w:r>
        <w:t>26. In this case, the operation concerns: (i) 97 points of sale with an area greater than 400 m² located in the provinces; (ii) 3 points of sale with an area greater than 400 m² located in the nearby suburbs of Paris; (iii) 14 points of sale with an area of less than 400 m² located in the nearby suburbs of Paris or in the provinces; (iv) 1 point of sale with an area greater than 400 m² located in Paris; (v) 10 points of sale with an area of less than 400 m² located in Paris.</w:t>
      </w:r>
    </w:p>
    <w:p>
      <w:r>
        <w:t>III. Competitive Analysis</w:t>
      </w:r>
    </w:p>
    <w:p>
      <w:r>
        <w:t>27. The effects of the operation will be successively analyzed on the upstream supply market and the downstream food distribution market.</w:t>
      </w:r>
    </w:p>
    <w:p>
      <w:r>
        <w:t>A. UPSTREAM SUPPLY MARKETS</w:t>
      </w:r>
    </w:p>
    <w:p>
      <w:r>
        <w:t>28. Insofar as the operation concerns the joint acquisition of 125 stores currently operated under brands of the Casino group, which already source from the Casino group, like the stores controlled by the Zouari family, the present operation is not likely to strengthen the purchasing power of the parties, across all products as well as by major product groups.</w:t>
      </w:r>
    </w:p>
    <w:p>
      <w:r>
        <w:t>29. Consequently, the operation is not likely to harm competition in the upstream distribution market.</w:t>
      </w:r>
    </w:p>
    <w:p>
      <w:r>
        <w:t>B. DOWNSTREAM FOOD DISTRIBUTION MARKETS</w:t>
      </w:r>
    </w:p>
    <w:p>
      <w:r>
        <w:t>30. The operation entails an overlap of activity with the stores controlled by the Zouari family in the following catchment areas: Mirambeau (17) (660 m²), Sarlat (24) (696 m²), Gratentour (31) (748 m²), Beauzelle (31) (870 m²), Plaisance-du-Touch (31) (2 points of sale, 993 m² and 967 m²), Saint Médard-en-Jalles (33) (1,007 m²), Bassens (33) (660 m²), Mérignac (33) (480 m²), Perpignan (66) (650 m²), Villemolaque (66) (500 m²), Paris (75) (2 points of sale, 275 m² and 310 m²), Sartrouville (78) (950 m²), Mantes-la-Ville (78) (1,048 m²), Elancourt (78) (1,450 m²), Castelsarrasin (82) (700 m²), Asnière-sur-Seine (92) (491 m²), Saint-Maur-des-Fossés (94) (700 m²), and Herblay (95) (815 m²).</w:t>
      </w:r>
    </w:p>
    <w:p>
      <w:r>
        <w:t>31. With the exception of the areas of Mirambeau (17) and Sarlat (24), the market share of the stores operated by companies controlled by the Zouari family will remain below 25% in all the concerned areas. The parties will also continue to face competition from the main national food distribution brands.</w:t>
      </w:r>
    </w:p>
    <w:p>
      <w:r>
        <w:rPr>
          <w:b/>
        </w:rPr>
        <w:t>[Pages 7–7]</w:t>
      </w:r>
    </w:p>
    <w:p>
      <w:r>
        <w:t>32. In the market comprising supermarkets and equivalent forms of trade located within a catchment area defined by a travel time of 15 minutes by car from the store located at ZAC de la Grange in Prévaud, Mirambeau (17), the Zouari family operates a Leader Price store with a surface area of 1,050 m², representing a market share of [10-20]% before the operation. Following the operation, the market share of the stores owned by the companies controlled by the Zouari family will therefore be [20-30]%. The Zouari family will control, exclusively or jointly, all the Casino-branded stores present in this area. However, the parties will face competition from ITM Entreprises ([30-40]%), Système U ([20-30]%), and Lidl ([10-20]%).</w:t>
      </w:r>
    </w:p>
    <w:p>
      <w:r>
        <w:t>33. In the market comprising supermarkets and equivalent forms of trade located within a catchment area defined by a travel time of 15 minutes by car from the store located on route de l'Abbé Breuil (RD 704) in Sarlat (24), the Zouari family operates a Casino-branded store with a surface area of 2,000 m², representing a market share of [20-30]% before the operation. Following the operation, the market share of the stores owned by the companies controlled by the Zouari family will therefore be [20-30]%. The Zouari family will control, exclusively or jointly, all the Casino-branded stores present in this area. However, the parties will face competition from Leclerc ([30-40]%), Carrefour ([30-40]%), and Lidl ([10-20]%).</w:t>
      </w:r>
    </w:p>
    <w:p>
      <w:r>
        <w:t>34. In light of the above, the operation is not likely to harm competition in the downstream markets of food-dominated distribution in the catchment areas concerned by the operation.</w:t>
      </w:r>
    </w:p>
    <w:p>
      <w:r>
        <w:t>DECIDES</w:t>
      </w:r>
    </w:p>
    <w:p>
      <w:r>
        <w:t>Single Article: The operation notified under number 17-246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