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https://www.autoritedelaconcurrence.fr/fr/decision-de-controle-des-concentrations/relative-la-prise-de-controle-conjoint-par-la-famille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15-DCC-168 of December 11, 2015  </w:t>
        <w:br/>
        <w:t xml:space="preserve">regarding the joint control acquisition by the Zouari family alongside  </w:t>
        <w:br/>
        <w:t xml:space="preserve">the Casino group of 72 retail stores predominantly in the food sector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9, 2015, concerning the joint control acquisition by the Zouari family alongside the  </w:t>
        <w:br/>
        <w:t xml:space="preserve">Casino group of 72 retail stores predominantly in the food sector, formalized by a Term Sheet signed on October 26,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Zouari family alongside  </w:t>
        <w:br/>
        <w:t xml:space="preserve">the Casino group of 72 retail stores predominantly in the food sector located in  </w:t>
        <w:br/>
        <w:t xml:space="preserve">the departments of Alpes-Maritimes (06), Charente (16), Charente-Maritime  </w:t>
        <w:br/>
        <w:t xml:space="preserve">(17), Ille-et-Vilaine (35), Loire-Atlantique (44), Maine-et-Loire (49), Seine  </w:t>
        <w:br/>
        <w:t xml:space="preserve">et Marne (77), Yvelines (78), Var (83), Vendée (85), Essonne (91),  </w:t>
        <w:br/>
        <w:t xml:space="preserve">Hauts-de-Seine (92), Seine-Saint-Denis (93), Val-de-Marne (94), Val d’Oise (95)  </w:t>
        <w:br/>
        <w:t xml:space="preserve">as well as in Paris (75). This operation constitutes a concentration within the meaning of Article L. 430-1  </w:t>
        <w:br/>
        <w:t xml:space="preserve">of the Commercial Code. Given the revenues generated by the companies  </w:t>
        <w:br/>
        <w:t xml:space="preserve">involved, the operation does not fall under the jurisdiction of the European Union. On the other hand,  </w:t>
        <w:br/>
        <w:t xml:space="preserve">the thresholds for control related to retail trade mentioned in point II of 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15-186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