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https://www.autoritedelaconcurrence.fr/fr/decision-de-controle-des-concentrations/relative-la-prise-de-controle-conjoint-par-la-societe-0</w:t>
      </w:r>
    </w:p>
    <w:p>
      <w:r>
        <w:t>Pages translated : 6</w:t>
      </w:r>
    </w:p>
    <w:p/>
    <w:p>
      <w:r>
        <w:rPr>
          <w:b/>
        </w:rPr>
        <w:t>[Pages 1–3]</w:t>
      </w:r>
    </w:p>
    <w:p>
      <w:r>
        <w:t>FRENCH REPUBLIC</w:t>
        <w:br/>
        <w:t>Decision No. 13-DCC-78 of June 28, 2013</w:t>
        <w:br/>
        <w:t>regarding the joint control by Faurecia SA</w:t>
        <w:br/>
        <w:t>of assets of Continental AG</w:t>
        <w:br/>
        <w:t>The Competition Authority,</w:t>
        <w:br/>
        <w:t>Having regard to the notification file submitted in full to the merger service on May 24, 2013</w:t>
        <w:br/>
        <w:t>regarding the acquisition by SAS Automotive France SAS, a joint subsidiary of</w:t>
        <w:br/>
        <w:t>Faurecia and Continental AG, of the assets of the Hambach production site of Continental Automotive Trading France SAS, formalized by a letter of intent dated May 20, 2013 and a draft transfer deed;</w:t>
        <w:br/>
        <w:t>Having regard to Book IV of the Commercial Code relating to price freedom and competition, and</w:t>
        <w:br/>
        <w:t>notably its Articles L. 430-1 to L. 430-7;</w:t>
        <w:br/>
        <w:t>Having regard to the additional elements submitted by the parties during the investigation;</w:t>
        <w:br/>
        <w:t>Adopts the following decision:</w:t>
        <w:br/>
        <w:t>I. The concerned companies and the operation</w:t>
        <w:br/>
        <w:t>1. SAS Automotive France SAS is a wholly-owned indirect subsidiary of SAS Autosystemtechnik GmbH &amp; Co KG. Under a shareholders' agreement, SAS Autosystemtechnik GmbH &amp; Co KG is jointly controlled by Faurecia SA and Continental AG, each holding 50% of its capital and voting rights.</w:t>
        <w:br/>
        <w:t>2. Faurecia SA is exclusively controlled by Peugeot SA, which holds 57.2% of its capital and 72.6% of the voting rights. Its activity consists of the development, manufacturing, and marketing of original equipment automotive parts. Continental AG is controlled by the Schaeffler group, which holds 49.9% of the voting rights, ensuring it a de facto majority in general meetings. It is active in the supply of tires, braking systems, electrical and electronic products and systems, sensors, and telematics for the automotive industry. Autosystemtechnik GmbH &amp; Co KG and its subsidiaries specialize in the assembly, logistics, and development of cockpit modules for cars. Autosystemtechnik GmbH &amp; Co KG has 20 production sites and 5 development centers.</w:t>
      </w:r>
    </w:p>
    <w:p>
      <w:r>
        <w:t>3. The Hambach production site (hereinafter the "target") is owned by Continental Automotive Trading France SAS, a wholly-owned indirect subsidiary of Continental AG. The site currently produces automotive cockpit modules for Smart France SAS (hereinafter, "Smart"), a subsidiary of Daimler AG, its sole client. The Hambach facilities are leased by Continental Automotive Trading France SAS to Smart, which owns them.</w:t>
        <w:br/>
        <w:t>4. The notified transaction involves the acquisition by SAS Automotive France SAS of the assets of the Hambach production site from Continental Automotive Trading France SAS. As it results in the joint control by Peugeot SA (via Faurecia) and the Schaeffler group (via Continental AG) of the Hambach production site through their joint subsidiary Autosystemtechnik GmbH &amp; Co KG, the notified transaction constitutes a concentration within the meaning of Article L. 430-1 of the Commercial Code.</w:t>
        <w:br/>
        <w:t>5. The concerned companies1 achieved a consolidated worldwide turnover excluding taxes of more than 150 million euros in 2012 (the acquiring group2: […] euros; target assets: […] euros). Each of these companies achieved a turnover in France exceeding 50 million euros in 2012 (the acquiring group3: […] euros; target assets: […] euros).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br/>
        <w:t>II. Definition of relevant markets</w:t>
        <w:br/>
        <w:t>6. The target produces automotive cockpit modules. Automotive cockpit modules integrate a dashboard and about a hundred components and subsystems such as wiring and electronic devices, instruments, the airbag system, the steering column, audio, information and communication systems, heating and air conditioning, etc.</w:t>
        <w:br/>
        <w:t>A. PRODUCT MARKETS</w:t>
        <w:br/>
        <w:t>7. In decision No. IV/M.800 of August 14, 1996, Siemens/Sommer Allibert, regarding the creation of the joint venture SAS Autosystemtechnik GmbH &amp; Co KG, the European Commission considered that integrated cockpits4 constituted a distinct product market from those corresponding to each of its individual components. It found that the integrated cockpit constituted a new and entirely separate product that was clearly distinguishable from the mere assembly of isolated components. This market definition was confirmed by the European Commission in decision No. COMP/M.2059 of August 29, 2000, Siemens/Dematic/VDO/Sachs. In its more recent decisions, the European Commission has nevertheless left open the question of the existence of a module market distinct from the markets corresponding to each of the components of a module, as well as the question of possible sub-segmentation within the modules between front modules, door modules, and cockpit modules5. The Competition Authority has also left this question open in decision No. 10-DCC-154 of November 19, 2010, regarding the exclusive control by Faurecia of assets belonging to the Visteon group. In this case, the precise definition of the market may remain open, as regardless of the delimitation chosen, the conclusions of the analysis will remain unchanged.</w:t>
        <w:br/>
        <w:t>8. Furthermore, national and European decision-making practice distinguishes a market for original equipment, which includes sales to automotive manufacturers for new equipment (OEM, "Original Equipment Manufacturer") and for supplying their networks with spare parts (OES, "Original Equipment Services"), and, on the other hand, a market for the resale of spare parts by independent dealers (IAM, "Independent Aftermarket"). It also distinguishes based on whether the parts concerned are intended to be integrated into light vehicles (including passenger cars and light commercial vehicles) and heavy vehicles6. In this case, there is no independent aftermarket for cockpit modules, nor an OES market, so the only relevant market is that of OEM. As for the types of vehicles for which the parties' modules are intended, they are solely for light vehicles.</w:t>
        <w:br/>
        <w:t>B. GEOGRAPHICAL MARKETS</w:t>
        <w:br/>
        <w:t>9. In the matter of automotive equipment parts, notably modules and components, national and European decision-making7 consistently considers that the geographical dimension of the markets extends at least to the European Economic Area (hereinafter "EEA") as manufacturers of automotive parts operate throughout the EEA and there are no technical standards or other regulatory barriers to trade within the EEA, nor customs barriers between Member States.</w:t>
        <w:br/>
        <w:t>10. In this case, there is no reason to challenge this geographical delimitation of the markets.</w:t>
      </w:r>
    </w:p>
    <w:p>
      <w:r>
        <w:rPr>
          <w:b/>
        </w:rPr>
        <w:t>[Pages 4–6]</w:t>
      </w:r>
    </w:p>
    <w:p>
      <w:r>
        <w:t xml:space="preserve">III. Competitive Analysis  </w:t>
        <w:br/>
        <w:t xml:space="preserve">A. ANALYSIS OF HORIZONTAL EFFECTS  </w:t>
        <w:br/>
        <w:t xml:space="preserve">11. The parties estimate that the size (in volume) of the automotive cockpit modules market in the EEA is [...] modules in 20128. In this market, the market share of SAS Autosystemtechnik GmbH &amp; Co KG amounts to [50-60]% and that of the target to [0-5]%, resulting in a combined market share of approximately [50-60]%. The parties' competitors are Mobis ([10-20]%), Visteon ([5-10]%), IAC ([5-10]%), Magna ([5-10]%), Peguform ([5-10]%), Calsonic Kansei ([0-5]%), JCI ([0-5]%), Dräxlmaier ([0-5]%), and other independent manufacturers collectively representing about [5-10]% of the market.  </w:t>
        <w:br/>
        <w:t xml:space="preserve">12. The customers of the parties and their competitors are automotive manufacturers with significant bargaining power. This bargaining power arises primarily from the weight they represent in the revenue of independent manufacturers. Thus, the top three customers of SAS Autosystemtechnik GmbH &amp; Co KG account for nearly [...]% of its revenue, while the entirety of the target's revenue is generated with a single automotive manufacturer, Daimler AG.  </w:t>
        <w:br/>
        <w:t xml:space="preserve">13. Secondly, automotive manufacturers produce, for their own needs, [...]% of all automotive cockpit modules manufactured in the EEA. Taking into account these modules produced by OEMs for their own needs, the modules produced by SAS Autosystemtechnik GmbH &amp; Co KG represent [20-30]% of the total and those of the target [0-5]%. Manufacturers that have decided to outsource this activity could internalize it again in the event of price increases by independent manufacturers. Automotive manufacturers (who currently internalize or outsource this activity) could also decide to compete with independent manufacturers in the automotive cockpit modules market, as Ford did with Visteon in 1999.  </w:t>
        <w:br/>
        <w:t xml:space="preserve">14. Furthermore, Smart France SAS, a subsidiary of Daimler AG, the sole customer of the target, has decided to change suppliers for its next production line. The target will continue to supply Smart with cockpit modules for the previous lines, still in production until 2014. SAS Autosystemtechnik GmbH &amp; Co KG, through its subsidiary, SAS Automotive France SAS, will become the exclusive supplier of cockpit modules for the next Smart, production of which is scheduled to take place from 2014 to 2020 under an agreement concluded with Daimler AG in July 2012. The notified transaction will therefore not allow SAS Autosystemtechnik GmbH &amp; Co KG to increase its market share, this increase resulting from the contract concluded with Daimler AG and taking effect in 2014.  </w:t>
        <w:br/>
        <w:t xml:space="preserve">15. It follows from these elements that the objective pursued by the parties through the notified transaction is to reorganize the manufacturing activities of cockpit modules of Faurecia SA and Continental AG within their joint subsidiary SAS Autosystemtechnik GmbH &amp; Co, by transferring the residual activities held by Continental AG in this sector, implemented at the Hambach production site, to their joint subsidiary.  </w:t>
        <w:br/>
        <w:t xml:space="preserve">16. The transaction does not appear to be capable of harming competition through horizontal effects.  </w:t>
        <w:br/>
        <w:t>8 According to the parties' estimates, [...] vehicles were produced in the EEA in 2012, of which [...]% included a cockpit module. Approximately [...]% of these cockpit modules ([…] modules) are manufactured by OEMs, the remainder ([…] modules) being manufactured by independent manufacturers such as SAS Autosystemtechnik GmbH &amp; Co KG.</w:t>
      </w:r>
    </w:p>
    <w:p>
      <w:r>
        <w:t xml:space="preserve">B. ANALYSIS OF VERTICAL EFFECTS  </w:t>
        <w:br/>
        <w:t xml:space="preserve">17. A vertical concentration can restrict competition by making it more difficult for competitors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18. In this case, the notified transaction is not likely to lock competitors of Peugeot SA out of the automotive cockpit modules market. Indeed, the sole customer of the target is Daimler AG, which will become, regardless of the notified transaction, a customer of the acquirer, SAS Autosystemtechnik GmbH &amp; Co KG, under a contract extending until 2020. The notified transaction is therefore not likely to alter the supply conditions for automotive cockpit modules of the target's sole customer, Daimler AG.  </w:t>
        <w:br/>
        <w:t xml:space="preserve">19. The transaction is also not likely to lock competitors of Faurecia and Continental AG out of the automotive cockpit modules market. Indeed, Faurecia and Continental AG already supply individual components to their joint subsidiary, SAS Autosystemtechnik GmbH &amp; Co KG, for the manufacture of automotive cockpit modules.  </w:t>
        <w:br/>
        <w:t xml:space="preserve">20. Finally, the transaction is also not likely to exclude independent manufacturers of automotive cockpit modules by locking them out of outlets. Indeed, Peugeot SA, which ultimately controls SAS Autosystemtechnik GmbH &amp; Co KG, does not currently source cockpit modules from it. The parties further specify that Peugeot SA does not use cockpit modules for the manufacture of its vehicles, whether through in-house production or by purchasing from external manufacturers. The only "module" used by Peugeot for the front interior cell of its vehicles consists of a pre-assembled but "bare" dashboard, to which various components are added individually as the production line progresses. Peugeot SA cannot therefore be considered a potential customer of SAS Autosystemtechnik GmbH &amp; Co KG or its competitors in the automotive cockpit modules market.  </w:t>
        <w:br/>
        <w:t>21. It follows from the above that the transaction is not likely to harm competition through vertical effects.</w:t>
      </w:r>
    </w:p>
    <w:p>
      <w:r>
        <w:t xml:space="preserve">DECIDES  </w:t>
        <w:br/>
        <w:t xml:space="preserve">Sole Article: The notified transaction under number 13-080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