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https://www.autoritedelaconcurrence.fr/fr/decision-de-controle-des-concentrations/relative-la-prise-de-controle-conjoint-par-la-societe-1</w:t>
      </w:r>
    </w:p>
    <w:p>
      <w:r>
        <w:t>Pages translated : 2</w:t>
      </w:r>
    </w:p>
    <w:p/>
    <w:p>
      <w:r>
        <w:rPr>
          <w:b/>
        </w:rPr>
        <w:t>[Pages 1–2]</w:t>
      </w:r>
    </w:p>
    <w:p>
      <w:r>
        <w:t>FRENCH REPUBLIC</w:t>
        <w:br/>
        <w:t>Decision No. 18-DCC-105 of June 21, 2018</w:t>
        <w:br/>
        <w:t>regarding the joint control acquisition by the company Franprix Leader Price Holding SAS (Casino group) and the Société Normande de Distribution of 35 retail businesses predominantly in the food sector</w:t>
        <w:br/>
        <w:t>The Competition Authority,</w:t>
        <w:br/>
        <w:t>Having regard to the complete notification file submitted to the mergers department on May 18, 2018, concerning the joint control acquisition of 35 stores by the company Franprix Leader Price Holding, and the Société Normande de Distribution, formalized by a transfer agreement protocol signed between the parties on April 20, 2018;</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company Franprix Leader Price Holding SAS (Casino group) and the Société Normande de Distribution of 35 retail businesses predominantly in the food sector.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18-092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