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https://www.autoritedelaconcurrence.fr/fr/decision-de-controle-des-concentrations/relative-la-prise-de-controle-conjoint-par-la-societe-2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19-DCC-111 of June 4, 2019  </w:t>
        <w:br/>
        <w:t xml:space="preserve">regarding the joint control acquisition by the company Altarea Cogedim  </w:t>
        <w:br/>
        <w:t xml:space="preserve">and by the Caisse des dépôts et consignations of a real estate complex for office use  </w:t>
        <w:br/>
        <w:t xml:space="preserve">The Competition Authority,  </w:t>
        <w:br/>
        <w:t xml:space="preserve">Having regard to the complete notification file sent to the mergers department on April 29, 2019,  </w:t>
        <w:br/>
        <w:t xml:space="preserve">concerning the joint control acquisition by the company Altarea Cogedim and by the Caisse des dépôts  </w:t>
        <w:br/>
        <w:t xml:space="preserve">et consignations of a real estate complex for office use, materialized by a bilateral promise of sale and by a memorandum of understanding dated March 29, 2019.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provides for the joint control acquisition by the company Altarea Cogedim and by  </w:t>
        <w:br/>
        <w:t xml:space="preserve">the Caisse des dépôts et consignations of a real estate complex for office use located in Paris  </w:t>
        <w:br/>
        <w:t xml:space="preserve">(75). It constitutes a concentration within the meaning of Article L. 430-1 of the Commercial Code.  </w:t>
        <w:br/>
        <w:t xml:space="preserve">Considering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The markets concerned by the operation are those of the proprietary management of  </w:t>
        <w:br/>
        <w:t xml:space="preserve">real estate assets for office use, which are consistently defined by the decision-making practice  </w:t>
        <w:br/>
        <w:t xml:space="preserve">of the competition authorities.  </w:t>
        <w:br/>
        <w:t xml:space="preserve">3. Regardless of the segmentations retained, the cumulative market shares of the parties are  </w:t>
        <w:br/>
        <w:t xml:space="preserve">below 25% when their activities overlap.  </w:t>
        <w:br/>
        <w:t xml:space="preserve">4. Considering the elements of the file and in particular point 384 of the guidelines of  </w:t>
        <w:br/>
        <w:t xml:space="preserve">the Competition Authority regarding the control of concentrations, the operation is not of  </w:t>
        <w:br/>
        <w:t>a nature to harm competition.</w:t>
      </w:r>
    </w:p>
    <w:p>
      <w:r>
        <w:t xml:space="preserve">DECIDES  </w:t>
        <w:br/>
        <w:t xml:space="preserve">Sole Article: The operation notified under number 19-108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