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https://www.autoritedelaconcurrence.fr/fr/decision-de-controle-des-concentrations/relative-la-prise-de-controle-conjoint-par-la-societe-3</w:t>
      </w:r>
    </w:p>
    <w:p>
      <w:r>
        <w:t>Pages translated : 5</w:t>
      </w:r>
    </w:p>
    <w:p/>
    <w:p>
      <w:r>
        <w:rPr>
          <w:b/>
        </w:rPr>
        <w:t>[Pages 1–3]</w:t>
      </w:r>
    </w:p>
    <w:p>
      <w:r>
        <w:t xml:space="preserve">FRENCH REPUBLIC  </w:t>
        <w:br/>
        <w:t xml:space="preserve">Decision No. 19-DCC-250 of December 16, 2019  </w:t>
        <w:br/>
        <w:t xml:space="preserve">regarding the joint control by the company Bardis alongside  </w:t>
        <w:br/>
        <w:t xml:space="preserve">the Association of E. Leclerc Distributor Centers of a retail  </w:t>
        <w:br/>
        <w:t>business with a food dominance under the Casino brand</w:t>
      </w:r>
    </w:p>
    <w:p>
      <w:r>
        <w:t xml:space="preserve">The Competition Authority,  </w:t>
        <w:br/>
        <w:t xml:space="preserve">Having regard to the notification file submitted in full to the merger service on November 18, 2019, regarding the joint control by the company Bardis alongside the Association of E. Leclerc Distributor Centers of a retail business with a food dominance under the Casino brand, formalized by a purchase promise dated September 16, 2019, and a substitution act dated September 23, 2019;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company Bardis is a simplified joint-stock company that operates a retail business with a food dominance located in Bar-sur-Aube (10). It is primarily owned by Mr. and Mrs. Damart.  </w:t>
        <w:br/>
        <w:t xml:space="preserve">2. The Association of E. Leclerc Distributor Centers (hereinafter, "ACDLec") is the body that defines the strategy of the E. Leclerc movement, to which all individuals managing the operating companies of E. Leclerc stores are members. ACDLec notably determines the conditions for approval to the E. Leclerc movement and signs the brand contracts (or "license agreements") that operators of E. Leclerc retail stores must hold.  </w:t>
        <w:br/>
        <w:t>3. The target business is a supermarket currently operated under the Casino brand, located in Brienne-le-Château (10), with a sales area of 1,500 m². It is owned by the company Distribution Casino France.</w:t>
      </w:r>
    </w:p>
    <w:p>
      <w:r>
        <w:t xml:space="preserve">4. The contemplated transaction, formalized by a purchase promise dated September 16, 2019, and by a substitution act dated September 23, 2019, involves the acquisition by Bardis of the target business operated under the Casino brand located in Brienne-le-Château (10).  </w:t>
        <w:br/>
        <w:t xml:space="preserve">5. The Authority has furthermore consistently considered1 that the obligations imposed by ACDLec on the operating companies of E. Leclerc stores, such as Bardis, allow it to exert decisive influence over them. This analysis of the decisive influence exerted by ACDLec is applicable to the present transaction, in view of the contractual documents binding Bardis to ACDLec2.  </w:t>
        <w:br/>
        <w:t xml:space="preserve">6. As it results in the joint control of the target business by Bardis alongside ACDLec, the operation constitutes a concentration within the meaning of Article L. 430-1 of the Commercial Code.  </w:t>
        <w:br/>
        <w:t xml:space="preserve">7. The concerned companies together achieve a total turnover excluding taxes on a global scale of more than 150 million euros (E. Leclerc movement: 24 billion euros for the fiscal year ending December 31, 2018; Bardis: 33.6 million euros for the same fiscal year; the target store: 3.6 million euros for the same fiscal year). Each of the companies has achieved, in France, a turnover exceeding 15 million euros (E. Leclerc movement: 24 billion euros for the fiscal year ending December 31, 2018; Bardis: 33.6 million euros for the same fiscal year; the target store: 3.6 million euros for the same fiscal year).  </w:t>
        <w:br/>
        <w:t>8. Given the turnover achieved by the concerned companies, the operation does not fall under the jurisdiction of the European Union. However, the control thresholds related to retail mentioned in II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A. UPSTREAM SUPPLY MARKETS  </w:t>
        <w:br/>
        <w:t xml:space="preserve">1. PRODUCT MARKETS  </w:t>
        <w:br/>
        <w:t xml:space="preserve">9. Regarding the supply markets, the European Commission3 recognizes the existence of markets by major product groups, a delimitation followed by national authorities4.  </w:t>
        <w:br/>
        <w:t xml:space="preserve">1 Decisions of the Authority No. 16-DCC-14 of January 29, 2016, regarding the joint control of a retail business with a food dominance by the company Attindis alongside the Association of E. Leclerc Distributor Centers, No. 16-DCC-53 of April 15, 2016, regarding the joint control of a retail business with a food dominance under the E. Leclerc brand by Mr. and Mrs. Bernard alongside the Association of E. Leclerc Distributor Centers, No. 16-DCC-211 of December 13, 2016, regarding the joint control of a business of the company Sodix by the ACDLec Association alongside the company Lacdis, and No. 19-DCC-63 of April 9, 2019, regarding the joint control of a retail business with a food dominance by the company Thegadis alongside the Association of E. Leclerc Distributor Centers.  </w:t>
        <w:br/>
        <w:t xml:space="preserve">2 See paragraphs 6 to 17 of the Authority's decision No. 19-DCC-63 of April 9, 2019, regarding the joint control of a retail business with a food dominance by the company Thegadis alongside the Association of E. Leclerc Distributor Centers.  </w:t>
        <w:br/>
        <w:t xml:space="preserve">3 Decisions of the European Commission M.1684 of January 25, 2000, Carrefour / Promodès, and M.2115 of September 28, 2000, Carrefour / GB.  </w:t>
        <w:br/>
        <w:t>4 Letters from the Minister in charge of the Economy C2005-98 of November 10, 2005, Carrefour/Penny Market, C2006-15 of April 14, 2006, Carrefour/Groupe Hamon, C2007-172 of February 13, 2008, regarding the creation of the joint venture Plamidis, and C2008-32 of July 9, 2008, Carrefour/SAGC, as well as decisions No. 16-DCC-53 and No. 16-DCC-211 mentioned above.</w:t>
      </w:r>
    </w:p>
    <w:p>
      <w:r>
        <w:t xml:space="preserve">10. There is no reason to challenge this delimitation on the occasion of the present operation.  </w:t>
        <w:br/>
        <w:t xml:space="preserve">2. GEOGRAPHIC MARKETS  </w:t>
        <w:br/>
        <w:t xml:space="preserve">11. From a geographic perspective, the consistent decision-making practice of competition authorities considers that supply markets are of national dimension5.  </w:t>
        <w:br/>
        <w:t>12. There is no reason to challenge the decision-making practice within the framework of the present operation.</w:t>
      </w:r>
    </w:p>
    <w:p>
      <w:r>
        <w:t xml:space="preserve">B. DOWNSTREAM MARKETS OF RETAIL DISTRIBUTION WITH A FOOD DOMINANCE  </w:t>
        <w:br/>
        <w:t xml:space="preserve">1. PRODUCT MARKETS  </w:t>
        <w:br/>
        <w:t xml:space="preserve">13. Regarding the retail sale of everyday consumer goods, the Authority distinguishes six categories of retail trade with a food dominance, using several criteria, including the size of the stores, their sales techniques, their accessibility, the nature of the service provided, and the range of products offered: (i) hypermarkets (food-dominant stores with a legal sales area exceeding 2,500 m²), (ii) supermarkets (between 400 and 2,500 m²), (iii) specialized trade, (iv) small retail trade (less than 400 m²), (v) maxi-discount stores, (vi) mail order6.  </w:t>
        <w:br/>
        <w:t xml:space="preserve">14. In this case, the target store has a sales area of 1,500 m²: it therefore falls into the category of supermarkets. The operation will therefore be analyzed in the supermarket market, which includes supermarkets and equivalent forms of trade (i.e., hypermarkets, maxi-discount stores, and popular stores).  </w:t>
        <w:br/>
        <w:t xml:space="preserve">2. GEOGRAPHIC MARKETS  </w:t>
        <w:br/>
        <w:t xml:space="preserve">15. Competition authorities examine the effects of concentrations in the food-dominant retail sector at the local level, which corresponds to the catchment area associated with each store and whose extent depends on the driving time for the consumer (outside Paris)7.  </w:t>
        <w:br/>
        <w:t xml:space="preserve">16. The Competition Authority believes that, depending on the size of the stores concerned and their location, competitive conditions can be assessed in two different geographic areas:  </w:t>
        <w:br/>
        <w:t xml:space="preserve">- a first market where the demand from consumers in an area meets the supply of hypermarkets to which they have access within less than 30 minutes of driving time and which are, from their perspective, substitutable for each other;  </w:t>
        <w:br/>
        <w:t xml:space="preserve">- and a second market where the demand from consumers meets the supply of supermarkets and equivalent forms of trade located within less than 15 minutes of driving time8. These latter forms of trade can  </w:t>
        <w:br/>
        <w:t xml:space="preserve">5 Decisions COMP/M.1684, COMP/M.4096, No. 16-DCC-53 and No. 16-DCC-211 mentioned above.  </w:t>
        <w:br/>
        <w:t xml:space="preserve">6 Decisions No. 16-DCC-53, No. 16-DCC-211 and No. 19-DCC-63 mentioned above.  </w:t>
        <w:br/>
        <w:t xml:space="preserve">7 Id.  </w:t>
        <w:br/>
        <w:t>8 Id.</w:t>
      </w:r>
    </w:p>
    <w:p>
      <w:r>
        <w:rPr>
          <w:b/>
        </w:rPr>
        <w:t>[Pages 4–5]</w:t>
      </w:r>
    </w:p>
    <w:p>
      <w:r>
        <w:t>include, in addition to supermarkets, hypermarkets located near consumers and discount stores9.</w:t>
      </w:r>
    </w:p>
    <w:p>
      <w:r>
        <w:t>17. The Authority considers that the competitive analysis only concerns the second market when the target store is a supermarket, with the first market being considered only when the target store is a hypermarket10.</w:t>
      </w:r>
    </w:p>
    <w:p>
      <w:r>
        <w:t>18. In this case, given the characteristics of the target store, the analysis will therefore focus on the area including the target supermarket and competing stores located within a 15-minute driving distance.</w:t>
      </w:r>
    </w:p>
    <w:p>
      <w:r>
        <w:t>III. Competitive Analysis</w:t>
      </w:r>
    </w:p>
    <w:p>
      <w:r>
        <w:t>A. UPSTREAM SUPPLY MARKETS</w:t>
      </w:r>
    </w:p>
    <w:p>
      <w:r>
        <w:t>19. Regarding the upstream supply markets, the operation concerns only one store whose total purchase amount represents a marginal share of the national supply market.</w:t>
      </w:r>
    </w:p>
    <w:p>
      <w:r>
        <w:t>20. The purchasing power of the E. Leclerc movement is therefore not likely to be strengthened, across all products as well as by product categories, as a result of the operation11.</w:t>
      </w:r>
    </w:p>
    <w:p>
      <w:r>
        <w:t>B. DOWNSTREAM DISTRIBUTION MARKETS</w:t>
      </w:r>
    </w:p>
    <w:p>
      <w:r>
        <w:t>21. Regarding the downstream distribution market, the target store is a supermarket that will, following the operation, be operated under the E. Leclerc brand, with a surface area of 1,500 m² and located in Brienne-le-Château (10).</w:t>
      </w:r>
    </w:p>
    <w:p>
      <w:r>
        <w:t>22. Prior to the operation, no E. Leclerc store is present within a 15-minute driving distance around the target store located on Boulevard Napoléon in Brienne-le-Château. After the operation, following the acquisition of the target, the parties will represent 31.2% of the sales areas in the considered catchment area. The target outlet will face competition from two other brands: Intermarché (52.7%) and Aldi (16.2%). The operation does not result in an addition of market shares to the benefit of E. Leclerc but simply leads to a substitution of market shares between the Casino and E. Leclerc brands.</w:t>
      </w:r>
    </w:p>
    <w:p>
      <w:r>
        <w:t>23. Consequently, the operation is not likely to harm competition in the downstream distribution market with a food dominance in the Brienne-le-Château (10) area.</w:t>
      </w:r>
    </w:p>
    <w:p>
      <w:r>
        <w:t>9 See the decisions of the Competition Authority n° 12-DCC-63, n° 13-DCC-90, and n° 14-DCC-173.</w:t>
      </w:r>
    </w:p>
    <w:p>
      <w:r>
        <w:t>10 Id.</w:t>
      </w:r>
    </w:p>
    <w:p>
      <w:r>
        <w:t>11 It should be noted that the five stores operated by the Parfait group represent a market share of less than 1% in the upstream supply markets at the national level.</w:t>
      </w:r>
    </w:p>
    <w:p>
      <w:r>
        <w:t>DECIDES</w:t>
      </w:r>
    </w:p>
    <w:p>
      <w:r>
        <w:t>Sole Article: The operation notified under number 19-310 is authorized.</w:t>
      </w:r>
    </w:p>
    <w:p>
      <w:r>
        <w:t>The President,</w:t>
      </w:r>
    </w:p>
    <w:p>
      <w:r>
        <w:t>Isabelle de Silva</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