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https://www.autoritedelaconcurrence.fr/fr/decision-de-controle-des-concentrations/relative-la-prise-de-controle-conjoint-par-la-societe-caz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19-DCC-127 of July 1, 2019  </w:t>
        <w:br/>
        <w:t xml:space="preserve">regarding the joint control acquisition by the company Caz Participations  </w:t>
        <w:br/>
        <w:t xml:space="preserve">et Investissements and the Caisse des Dépôts et Consignations of a  </w:t>
        <w:br/>
        <w:t xml:space="preserve">real estate complex in the future state of completion  </w:t>
        <w:br/>
        <w:t xml:space="preserve">The Competition Authority,  </w:t>
        <w:br/>
        <w:t xml:space="preserve">Having regard to the complete notification file sent to the mergers department on May 28, 2019  </w:t>
        <w:br/>
        <w:t xml:space="preserve">concerning the joint control acquisition by the company Caz Participations et Investissements and the  </w:t>
        <w:br/>
        <w:t xml:space="preserve">Caisse des Dépôts et Consignations of a real estate complex in the future state of completion,  </w:t>
        <w:br/>
        <w:t xml:space="preserve">materialized by a letter of intent dated April 29,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Caz Participations  </w:t>
        <w:br/>
        <w:t xml:space="preserve">et Investissements and the Caisse des Dépôts et Consignations of a real estate complex in the future  </w:t>
        <w:br/>
        <w:t xml:space="preserve">state of completion in Toulon (83). It constitutes a concentration within the meaning of Article L. 430-1  </w:t>
        <w:br/>
        <w:t xml:space="preserve">of the Commercial Code. Given the turnover achieved by the companies involved, the notification thresholds  </w:t>
        <w:br/>
        <w:t xml:space="preserve">of Article 1 paragraph 2 of Regulation (EC) No. 139/2004 are exceeded, but since each of the companies  </w:t>
        <w:br/>
        <w:t xml:space="preserve">concerned generates more than two-thirds of its turnover in the Union in France, the operation does not fall  </w:t>
        <w:br/>
        <w:t xml:space="preserve">within the competence of the European Union. On the other hand, the control thresholds mentioned in I of  </w:t>
        <w:br/>
        <w:t xml:space="preserve">Article L. 430-2 of the Commercial Code are exceeded. This operation is therefore subject to the provisions  </w:t>
        <w:br/>
        <w:t xml:space="preserve">of Articles L. 430-3 and following of the Commercial Code relating to economic concentration.  </w:t>
        <w:br/>
        <w:t xml:space="preserve">2. The markets concerned by the operation are those of real estate services, which are consistently defined  </w:t>
        <w:br/>
        <w:t xml:space="preserve">by the decision-making practice of the competition authorities.  </w:t>
        <w:br/>
        <w:t xml:space="preserve">3. Regardless of the segmentations retained, the combined market shares of the parties are below 25% when  </w:t>
        <w:br/>
        <w:t xml:space="preserve">their activities overlap or the addition of their market shares with the target is less than two points.  </w:t>
        <w:br/>
        <w:t xml:space="preserve">4. Given the elements of the file and in particular in view of points 384 and 398 of the guidelines of the  </w:t>
        <w:br/>
        <w:t>Competition 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19-118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