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https://www.autoritedelaconcurrence.fr/fr/decision-de-controle-des-concentrations/relative-la-prise-de-controle-conjoint-par-la-societe</w:t>
      </w:r>
    </w:p>
    <w:p>
      <w:r>
        <w:t>Pages translated : 2</w:t>
      </w:r>
    </w:p>
    <w:p/>
    <w:p>
      <w:r>
        <w:rPr>
          <w:b/>
        </w:rPr>
        <w:t>[Pages 1–2]</w:t>
      </w:r>
    </w:p>
    <w:p>
      <w:r>
        <w:t xml:space="preserve">FRENCH REPUBLIC  </w:t>
        <w:br/>
        <w:t xml:space="preserve">Decision No. 12-DCC-45 of April 6, 2012  </w:t>
        <w:br/>
        <w:t xml:space="preserve">regarding the joint control acquisition by the company  </w:t>
        <w:br/>
        <w:t xml:space="preserve">Retail Leader Price Investissement (Casino Group)  </w:t>
        <w:br/>
        <w:t xml:space="preserve">and the company Unimag Faure et Compagnie of the companies Fabas-Distri,  </w:t>
        <w:br/>
        <w:t xml:space="preserve">Fleurance Distribution, Redon-Distri, and Nerac-Distri  </w:t>
        <w:br/>
        <w:t xml:space="preserve">The Competition Authority,  </w:t>
        <w:br/>
        <w:t xml:space="preserve">Having regard to the complete notification file sent to the mergers department on March 12, 2012,  </w:t>
        <w:br/>
        <w:t xml:space="preserve">concerning the joint control acquisition of the companies Fabas-Distri, Fleurance Distribution, Redon-  </w:t>
        <w:br/>
        <w:t xml:space="preserve">Distri, and Nerac-Distri by the company Retail Leader Price Investissement and the company Unimag  </w:t>
        <w:br/>
        <w:t xml:space="preserve">Faure et Compagnie via the company Ecomag formalized by the memorandum of understanding concluded between  </w:t>
        <w:br/>
        <w:t xml:space="preserve">RLPI and Unimag dated February 8, 2012, and by draft statutes and shareholder agreements of  </w:t>
        <w:br/>
        <w:t xml:space="preserve">the company Ecomag;  </w:t>
        <w:br/>
        <w:t xml:space="preserve">Having regard to Book IV of the Commercial Code relating to price and competition freedom, and  </w:t>
        <w:br/>
        <w:t xml:space="preserve">notably its Articles L. 430-1 to L. 430-7;  </w:t>
        <w:br/>
        <w:t xml:space="preserve">Adopts the following decision:  </w:t>
        <w:br/>
        <w:t xml:space="preserve">1. The notified operation consists of the joint control acquisition of the companies Fabas-Distri, Redon-  </w:t>
        <w:br/>
        <w:t xml:space="preserve">Distri, Fleurance Distribution, and Nerac-Distri, which operate retail outlets primarily selling food under the Leader Price brand in Boé (47), Bon Encontre (47), Fleurance (32), and Nérac (47) with respective areas of 1,000, 910, 954, and 1,230 m², by the company  </w:t>
        <w:br/>
        <w:t xml:space="preserve">Unimag Faure et Compagnie alongside the company Retail Leader Price Investissement, a subsidiary  </w:t>
        <w:br/>
        <w:t xml:space="preserve">of the Casino Guichard Perrachon group, via their joint company Ecomag. It constitutes a  </w:t>
        <w:br/>
        <w:t xml:space="preserve">concentration operation within the meaning of Article L. 430-1 of the Commercial Code. Given  </w:t>
        <w:br/>
        <w:t xml:space="preserve">the turnover achieved by the companies concerned, the operation does not have a  </w:t>
        <w:br/>
        <w:t xml:space="preserve">community dimension. On the other hand, the retail control thresholds mentioned in point II of Article L. 430-2 of the Commercial Code are exceeded. This  </w:t>
        <w:br/>
        <w:t xml:space="preserve">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12-042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