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https://www.autoritedelaconcurrence.fr/fr/decision-de-controle-des-concentrations/relative-la-prise-de-controle-conjoint-par-le-groupe-deutz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19-DCC-218 of December 5, 2019  </w:t>
        <w:br/>
        <w:t xml:space="preserve">regarding the joint control acquisition by the Deutz group and the  </w:t>
        <w:br/>
        <w:t xml:space="preserve">Sany group of the company Kunshan Sany Power  </w:t>
        <w:br/>
        <w:t xml:space="preserve">The Competition Authority,  </w:t>
        <w:br/>
        <w:t xml:space="preserve">Having regard to the complete notification file sent to the mergers department on November 5, 2019,  </w:t>
        <w:br/>
        <w:t xml:space="preserve">concerning the joint control acquisition by the Deutz group and the Sany group of the company  </w:t>
        <w:br/>
        <w:t xml:space="preserve">Kunshan Sany Power, formalized by a capital increase and participation agreement  </w:t>
        <w:br/>
        <w:t xml:space="preserve">and a joint venture agreement dated September 20, 2019;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Having regard to the additional elements provided by the notifying parties during the  </w:t>
        <w:br/>
        <w:t xml:space="preserve">investigation;  </w:t>
        <w:br/>
        <w:t xml:space="preserve">Adopts the following decision:  </w:t>
        <w:br/>
        <w:t xml:space="preserve">1. The notified operation consists of the joint control acquisition by the Deutz group and the  </w:t>
        <w:br/>
        <w:t xml:space="preserve">Sany group of the company Kunshan Sany Power, primarily engaged in the manufacture of  </w:t>
        <w:br/>
        <w:t xml:space="preserve">diesel engines. It constitutes a concentration operation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mentioned in point 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19-248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