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https://www.autoritedelaconcurrence.fr/fr/decision-de-controle-des-concentrations/relative-la-prise-de-controle-conjoint-par-le-groupe</w:t>
      </w:r>
    </w:p>
    <w:p>
      <w:r>
        <w:t>Pages translated : 2</w:t>
      </w:r>
    </w:p>
    <w:p/>
    <w:p>
      <w:r>
        <w:rPr>
          <w:b/>
        </w:rPr>
        <w:t>[Pages 1–2]</w:t>
      </w:r>
    </w:p>
    <w:p>
      <w:r>
        <w:t xml:space="preserve">FRENCH REPUBLIC  </w:t>
        <w:br/>
        <w:t xml:space="preserve">Decision No. 13-DCC-74 of June 26, 2013  </w:t>
        <w:br/>
        <w:t xml:space="preserve">regarding the joint control acquisition by the Carrefour group and the Bonnel consortium of the company BDP Avenir Distribution  </w:t>
        <w:br/>
        <w:t>The Competition Authority,</w:t>
      </w:r>
    </w:p>
    <w:p>
      <w:r>
        <w:t>Having regard to the complete notification file sent to the mergers department on June 7, 2012, concerning the joint control acquisition by the Carrefour group and the Bonnel consortium of the company BDP Avenir Distribution, formalized by a memorandum of understanding dated May 17, 2013;</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joint control acquisition of the newly created company BDP Avenir Distribution, which will operate a food-dominant retail outlet of 3,000 m² under the Carrefour Market brand in the city of L’Isle Jourdain (32), by the Bonnel consortium, which is itself active in food-dominant retail, alongside the Carrefour group. It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12-089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