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https://www.autoritedelaconcurrence.fr/fr/decision-de-controle-des-concentrations/relative-la-prise-de-controle-conjoint-par-les-consorts-0</w:t>
      </w:r>
    </w:p>
    <w:p>
      <w:r>
        <w:t>Pages translated : 2</w:t>
      </w:r>
    </w:p>
    <w:p/>
    <w:p>
      <w:r>
        <w:rPr>
          <w:b/>
        </w:rPr>
        <w:t>[Pages 1–2]</w:t>
      </w:r>
    </w:p>
    <w:p>
      <w:r>
        <w:t xml:space="preserve">FRENCH REPUBLIC  </w:t>
        <w:br/>
        <w:t xml:space="preserve">Decision No. 19-DCC-23 of February 8, 2019  </w:t>
        <w:br/>
        <w:t xml:space="preserve">regarding the joint acquisition of control by the Niel group and ITM Enterprises  </w:t>
        <w:br/>
        <w:t xml:space="preserve">of the business assets of the company Rechan  </w:t>
        <w:br/>
        <w:t xml:space="preserve">The Competition Authority,  </w:t>
        <w:br/>
        <w:t xml:space="preserve">Having regard to the complete notification file submitted to the mergers department on January 4, 2019,  </w:t>
        <w:br/>
        <w:t xml:space="preserve">concerning the joint acquisition of control of the business assets of the company Rechan by the Niel group and the company ITM Enterprises, and formalized by a business asset transfer agreement dated December 18, 2018;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joint acquisition of control by the Niel group and the company ITM Enterprises, through a joint venture named Sdevadis, of a retail business primarily focused on food of a hypermarket type with an area of 5,730 m² under the Intermarché brand and located in Rennes (35). It constitutes a concentration operation within the meaning of Article L. 430-1 of the Commercial Code. Given the turnover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notified operation under number 19-002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