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https://www.autoritedelaconcurrence.fr/fr/decision-de-controle-des-concentrations/relative-la-prise-de-controle-conjoint-par-les-consorts</w:t>
      </w:r>
    </w:p>
    <w:p>
      <w:r>
        <w:t>Pages translated : 2</w:t>
      </w:r>
    </w:p>
    <w:p/>
    <w:p>
      <w:r>
        <w:rPr>
          <w:b/>
        </w:rPr>
        <w:t>[Pages 1–2]</w:t>
      </w:r>
    </w:p>
    <w:p>
      <w:r>
        <w:t xml:space="preserve">FRENCH REPUBLIC  </w:t>
        <w:br/>
        <w:t xml:space="preserve">Decision No. 15-DCC-37 of March 23, 2015  </w:t>
        <w:br/>
        <w:t xml:space="preserve">regarding the joint control acquisition by the Jodeau parties, alongside ITM Entreprises, of the companies Timael, Ficus, Aravis, and Quieta  </w:t>
        <w:br/>
        <w:t xml:space="preserve">The Competition Authority,  </w:t>
        <w:br/>
        <w:t xml:space="preserve">Having regard to the complete notification file submitted to the mergers department on March 3, 2015, concerning the joint control acquisition by the Jodeau parties, alongside ITM Entreprises, of the companies Timael, Ficus, Aravis, and Quieta, and formalized by a share transfer agreement under a suspensive condition dated February 23,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companies Timael, Ficus, Aravis, and Quieta, each operating a food-dominant retail outlet under the Intermarché or Netto brand in the cities of Angers (49), Saint-Barthélemy d’Anjou (49), Avrille (49), and Pelouailles Les Vignes (49), by ITM Entreprises and the Jodeau parties, who themselves operate a food-dominant retail outlet under the Intermarché brand in the city of Angers (49). This operation constitutes a concentration within the meaning of Article L. 430-1 of the Commercial Code. Given the turnover achieved by the companies concerned, the operation does not fall under the jurisdiction of the European Union. However, the control thresholds relating to concentration operations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15-032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