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https://www.autoritedelaconcurrence.fr/fr/decision-de-controle-des-concentrations/relative-la-prise-de-controle-conjoint-par-les-societes-0</w:t>
      </w:r>
    </w:p>
    <w:p>
      <w:r>
        <w:t>Pages translated : 5</w:t>
      </w:r>
    </w:p>
    <w:p/>
    <w:p>
      <w:r>
        <w:rPr>
          <w:b/>
        </w:rPr>
        <w:t>[Pages 1–3]</w:t>
      </w:r>
    </w:p>
    <w:p>
      <w:r>
        <w:t xml:space="preserve">FRENCH REPUBLIC  </w:t>
        <w:br/>
        <w:t xml:space="preserve">Decision No. 12-DCC-141 of October 4, 2012  </w:t>
        <w:br/>
        <w:t xml:space="preserve">regarding the joint control by the companies Prédica and CNP  </w:t>
        <w:br/>
        <w:t>Assurances of the Livry-Bouvard building</w:t>
      </w:r>
    </w:p>
    <w:p>
      <w:r>
        <w:t xml:space="preserve">The Competition Authority,  </w:t>
        <w:br/>
        <w:t xml:space="preserve">Having regard to the notification file submitted in full to the concentrations service on August 31, 2012, regarding the joint control by Prédica and CNP Assurances of the building primarily used for offices named "Livry-Bouvard," located at 29-31 rue du Bac, 75007 Paris, formalized by a bilateral promise of sale signed on August 7, 2012;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Prédica is a subsidiary of Crédit Agricole SA, the head of the Crédit Agricole group (hereinafter "GCA"). GCA's activities are divided into several poles which are (i) proximity banking in France, (ii) specialized financial services, (iii) financing and investment banking, (iv) asset management through its insurance and private banking services, (v) insurance businesses, (vi) retail banking internationally, and (vii) real estate services. GCA is notably active in providing real estate services through the companies Prédica and Pacifica, which hold and manage real estate assets for their own account, as well as through Crédit Agricole immobilier and its subsidiaries, specialized in real estate services.  </w:t>
        <w:br/>
        <w:t xml:space="preserve">2. CNP Assurances (hereinafter "CNP") is a public limited company governed by the Insurance Code. CNP is primarily active in the personal insurance sector in France, notably savings, retirement, and risk coverage. CNP also has a real estate portfolio as part of its investment activities.  </w:t>
        <w:br/>
        <w:t xml:space="preserve">3. CNP and Prédica created for the needs of the operation the SCI Rue du Bac, over which they jointly hold control as CNP and Prédica each hold 50% of the capital and where, in accordance with the provisions of the shareholders' agreement that CNP and Prédica must sign, strategic decisions relating to the company's activity must be made unanimously by the shareholders.  </w:t>
        <w:br/>
        <w:t xml:space="preserve">4. The "Livry-Bouvard" building is a 16,250 m² property (including 3,485 m² of retail space and 12,727 m² of office space), located at 23 to 25 rue de l'Université, 29-31 rue du Bac, and 2-4 rue Montalembert, and owned by the company CEREP Université. The retail spaces are leased to retail stores.  </w:t>
        <w:br/>
        <w:t xml:space="preserve">5. The notified transaction, formalized by a bilateral promise of sale signed on August 7, 2012, by CNP, Prédica, and CEREP Université, involves the acquisition of the "Livry-Bouvard" building by SCI Rue du Bac.  </w:t>
        <w:br/>
        <w:t xml:space="preserve">6. In that it results in the joint control of the "Livry-Bouvard" building by CNP and Prédica, the operation constitutes a concentration within the meaning of Article L.430-1 of the Commercial Code.  </w:t>
        <w:br/>
        <w:t>7. The concerned companies together achieve a total worldwide turnover of more than 150 million euros (GCA: […] euros for the fiscal year ending December 31, 2011; CNP: […] euros for the same fiscal year; the "Livry-Bouvard" building: […] euros for the same fiscal year). Two of them have achieved, in France, a turnover exceeding 50 million euros (GCA: […] euros for the fiscal year ending December 31, 2011; CNP: […] euros for the same fiscal year). Given these turnover figures, the operation does not have a community dimension as each of the concerned companies generates more than two-thirds of its turnover in France. However, the control thresholds mentioned in II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A. DELIMITATION OF PRODUCT AND SERVICE MARKETS  </w:t>
        <w:br/>
        <w:t xml:space="preserve">8. The operation leads to an overlap of activities of CNP, Prédica, and the target asset in certain markets of the real estate sector.  </w:t>
        <w:br/>
        <w:t xml:space="preserve">9. National and community competition authorities have considered, while leaving the question open, various segmentations in the real estate services sector according to (i) the recipients of the services (individuals or businesses), (ii) the pricing method (residential real estate free and subsidized social or intermediate housing), (iii) the type of activity conducted on the premises (offices, commercial premises, and other activity premises), and (iv) the nature of the services or goods offered.  </w:t>
        <w:br/>
        <w:t xml:space="preserve">10. Regarding segmentation according to the nature of the services or goods offered, decision-making practice has considered the distinction between:  </w:t>
        <w:br/>
        <w:t xml:space="preserve">(i) real estate development, which includes construction and sale activities of real estate properties;  </w:t>
        <w:br/>
        <w:t xml:space="preserve">(ii) real estate asset management for own account;  </w:t>
        <w:br/>
        <w:t xml:space="preserve">(iii) real estate asset management for third-party account;  </w:t>
        <w:br/>
        <w:t xml:space="preserve">(iv) real estate administration, which covers property management activities on behalf of owners and can be segmented between rental management and co-ownership management;  </w:t>
        <w:br/>
        <w:t xml:space="preserve">(v) real estate expertise;  </w:t>
        <w:br/>
        <w:t xml:space="preserve">(vi) real estate consulting;  </w:t>
        <w:br/>
        <w:t xml:space="preserve">(vii) intermediation in real estate transactions, within which a distinction can be made between the sale and rental of properties.  </w:t>
        <w:br/>
        <w:t xml:space="preserve">11. In this case, the parties are simultaneously present in the market for holding and managing real estate assets for their own account of properties for office use and commercial use.  </w:t>
        <w:br/>
        <w:t xml:space="preserve">12. In this regard, concerning the segmentation of the market for holding and managing real estate assets for their own account of commercial properties according to the destination of the premises, the Minister of Economy, while leaving the question open, has considered a segmentation between shopping centers and commercial premises at the foot of buildings.  </w:t>
        <w:br/>
        <w:t>13. There is no need to challenge these segmentations in the context of the present operation.</w:t>
      </w:r>
    </w:p>
    <w:p>
      <w:r>
        <w:t xml:space="preserve">B. GEOGRAPHICAL DELIMITATION OF MARKETS  </w:t>
        <w:br/>
        <w:t>14. Decision-making practice considers that the markets for real estate services aimed at individuals are of a local dimension. In contrast, operations related to markets...</w:t>
      </w:r>
    </w:p>
    <w:p>
      <w:r>
        <w:rPr>
          <w:b/>
        </w:rPr>
        <w:t>[Pages 4–5]</w:t>
      </w:r>
    </w:p>
    <w:p>
      <w:r>
        <w:t>of real estate services for businesses have been analyzed both at the local and national levels.</w:t>
      </w:r>
    </w:p>
    <w:p>
      <w:r>
        <w:t>15. The main activity concerned by the operation is the management of real estate assets for office use on one's own account.</w:t>
      </w:r>
    </w:p>
    <w:p>
      <w:r>
        <w:t>16. Regarding the Île-de-France region, the Minister of Economy noted that "the Parisian region has particular properties of continuity of urban areas. Indeed, there is a vast, highly urbanized, and homogeneous area covering most of Île-de-France, served by a comprehensive transport network; residents are always able to choose between different parts of the region. This substitutability leads to a convergence in prices. Therefore, the regional level is the most appropriate for competitive analysis." For other regions, competition authorities have conducted their competitive analyses at the regional or sub-regional level. In this case, the analysis will therefore be conducted at the regional level of Île-de-France and at the level of the Paris agglomeration.</w:t>
      </w:r>
    </w:p>
    <w:p>
      <w:r>
        <w:t>17. The question of the exact delineation of the relevant markets may, however, be left open in this decision, as the conclusions of the competitive analysis remain unchanged regardless of the delineations adopted.</w:t>
      </w:r>
    </w:p>
    <w:p>
      <w:r>
        <w:t>III. Competitive Analysis</w:t>
      </w:r>
    </w:p>
    <w:p>
      <w:r>
        <w:t>18. The notifying parties estimated the national market for office rental management at 196 million m².</w:t>
      </w:r>
    </w:p>
    <w:p>
      <w:r>
        <w:t>19. In the Île-de-France region, the notifying parties estimated the size of the market for the management of real estate assets for office use in volume at approximately 51.2 million m². GCA and CNP manage respectively […] m² and […] m² of offices in this region, representing respectively [0-5]% and [0-5]% of the areas. With 12,727 m² of office space, the market share of the target is negligible. It is also noted that the market for the management and ownership of real estate assets for office use in Île-de-France is characterized by its high fragmentation. Many operators are active in this market, such as real estate companies, including publicly traded real estate investment companies such as Gecina or Silic, as well as insurance companies, investment funds, and banks.</w:t>
      </w:r>
    </w:p>
    <w:p>
      <w:r>
        <w:t>20. For the Paris agglomeration alone, the combined market shares of the parties and the target will also represent less than [0-5]% of the market in volume, with the target representing only a marginal share of the relevant areas.</w:t>
      </w:r>
    </w:p>
    <w:p>
      <w:r>
        <w:t>21. Consequently, the present operation is not likely to harm competition through horizontal effects in the market for the management of office space for one's own account.</w:t>
      </w:r>
    </w:p>
    <w:p>
      <w:r>
        <w:t>DECIDES</w:t>
      </w:r>
    </w:p>
    <w:p>
      <w:r>
        <w:t>Article unique: The operation notified under number 12-141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