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https://www.autoritedelaconcurrence.fr/fr/decision-de-controle-des-concentrations/relative-la-prise-de-controle-conjoint-par-les-societes-1</w:t>
      </w:r>
    </w:p>
    <w:p>
      <w:r>
        <w:t>Pages translated : 7</w:t>
      </w:r>
    </w:p>
    <w:p/>
    <w:p>
      <w:r>
        <w:rPr>
          <w:b/>
        </w:rPr>
        <w:t>[Pages 1–3]</w:t>
      </w:r>
    </w:p>
    <w:p>
      <w:r>
        <w:t>FRENCH REPUBLIC</w:t>
        <w:br/>
        <w:t>Decision No. 16-DCC-164 of November 4, 2016</w:t>
        <w:br/>
        <w:t>regarding the joint control by the companies Holding Saint Gatien and Ovalie of the Holding Hospitalière et Hôtelière group</w:t>
        <w:br/>
        <w:t>The Competition Authority,</w:t>
        <w:br/>
        <w:t>Having regard to the notification file sent to the concentrations service on September 12, 2016, declared complete on October 3, 2016, regarding the joint control by the companies Holding Saint Gatien and Ovalie of the Holding Hospitalière et Hôtelière group, formalized by a share transfer agreement dated July 28, 2016;</w:t>
        <w:br/>
        <w:t>Having regard to Book IV of the Commercial Code relating to price freedom and competition, and in particular its Articles L. 430-1 to L. 430-7;</w:t>
        <w:br/>
        <w:t>Having regard to the additional elements submitted by the parties during the investigation;</w:t>
        <w:br/>
        <w:t>Adopts the following decision:</w:t>
        <w:br/>
        <w:t>I. The concerned companies and the operation</w:t>
        <w:br/>
        <w:t>1. Holding Saint Gatien (hereinafter, "Saint Gatien") is a public limited company under French law whose capital is held by several shareholders who do not individually or jointly exercise any decisive influence over the company. It operates ten healthcare establishments in France, particularly in the Centre-Val de Loire, Aquitaine1, and Île-de-France regions. The establishments operated by Saint Gatien offer services including medicine, surgery, obstetrics, follow-up care and rehabilitation, and oncology.</w:t>
        <w:br/>
        <w:t>2. Ovalie is a public limited company under French law that owns two healthcare establishments in France, located in the Centre-Val de Loire region. Its establishments primarily offer services in medicine, surgery, obstetrics, and oncology. Ovalie is owned by several shareholders, none of whom are able to exercise decisive influence over the company.</w:t>
        <w:br/>
        <w:t>1 Former administrative region.</w:t>
      </w:r>
    </w:p>
    <w:p>
      <w:r>
        <w:t>3. Holding Hospitalière et Hôtelière (hereinafter, "3H") is a public limited company owned by the companies Alef msf ([…] %) and Société Médicale ([…] %) prior to the transaction. It owns and operates five healthcare establishments in France, located in the Pays de la Loire region, which offer services including medicine, surgery, and oncology.</w:t>
        <w:br/>
        <w:t>4. Pursuant to a share transfer agreement dated July 28, 2016, the transaction involves the joint control acquisition by the companies Ovalie and Saint Gatien of the 3H group, through the acquisition of the entire share capital and voting rights of the companies Alef msf and Société Médicale. Under the terms of the agreement, this acquisition is carried out by the company Sisio SAS, created for the purposes of the transaction and jointly controlled by Saint Gatien and Jovalie, the latter being a company controlled by Ovalie. Thus, all decisions adopted within the general assembly are adopted by a simple majority, except for extraordinary2 and special3 decisions, which are not strategic decisions within the meaning of competition law. In particular, the decision to appoint representatives within Sisio is made by the shareholders' assembly voting by simple majority.</w:t>
        <w:br/>
        <w:t>5. Insofar as it results in the joint control of the 3H group by the companies Ovalie and Saint Gatien, the notified transaction constitutes a concentration within the meaning of Article L. 430-1 of the Commercial Code.</w:t>
        <w:br/>
        <w:t>6. The concerned companies together achieve a total worldwide turnover excluding taxes of more than 150 million euros (Saint Gatien: […] euros for the fiscal year ending June 30, 2015; Ovalie: […] euros for the fiscal year ending December 31, 2015; 3H: […] euros for the same fiscal year). Each of these companies has achieved a turnover in France exceeding 50 million euros (Saint Gatien: […] euros for the fiscal year ending June 30, 2015; Ovalie: […] euros for the fiscal year ending December 31, 2015; 3H: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br/>
        <w:t>II. Delimitation of relevant markets</w:t>
        <w:br/>
        <w:t>7. The transaction results in an overlap of activities in the sector of the provision of diagnostics and hospital care.</w:t>
        <w:br/>
        <w:t>A. DELIMITATION OF SERVICE MARKETS</w:t>
        <w:br/>
        <w:t>8. Regarding the markets for the provision of diagnostics and hospital care in France, national and European decision-making practice4 considers that it is not relevant to distinguish the supply based on whether it originates from private or public establishments. Indeed, in France, the patient is free to choose their establishment, public or private, without economic consideration since the reimbursement of care does not depend on the status of the establishment where the care was provided. Moreover, patients' use of supplementary insurance tends to increase their freedom of choice regarding the establishment in which they wish to be treated, concerning the non-care portion of hospitalization costs (the "hotel" services). Furthermore, whether public or private, hospital establishments are intended to welcome all patients, without economic or social consideration. Finally, hospital establishments established in France are subject to a common regulatory framework that defines the conditions for exercising their activity. This is regulated at the regional level by the Regional Health Agencies (hereinafter, "ARS"), which enter into contracts of objectives and means with the establishments.</w:t>
        <w:br/>
        <w:t>9. Competition authorities5, however, distinguish markets for the provision of diagnostics and hospital care by type of activity, to take into account the high specialization of practitioners and the services of hospital establishments, as well as the necessity for a hospital establishment to obtain specific authorizations from the ARS for the exercise of certain medical or surgical specialties. The practice has thus considered a broad segmentation, by "groups of specialized activity" corresponding to the major disciplines defined by the Public Health Code (medicine, surgery, obstetrics, neonatology, psychiatry, follow-up care and rehabilitation, long-term care, oncology and radiotherapy, diagnostic activities).</w:t>
        <w:br/>
        <w:t>10. The Competition Authority6 has also considered a narrower segmentation of the markets for diagnostics and hospital care, by "major diagnostic category" (hereinafter, "MDC"), according to the classification of acts established by the ARS. The Competition Authority considered, while leaving the question open, that this segmentation was relevant since it allows for the distinction of all medical acts performed within hospital establishments according to both medical and functional criteria, taking into account the parts of the body treated, and economic criteria (stays or admissions classified in the same group involving the use of similar resources). The Authority also considered further segmenting each MDC based on the presence of a surgical act or not (hereinafter, "SA" in the presence of a surgical act and "NSA" in the absence of a surgical act)7.</w:t>
        <w:br/>
        <w:t>11. In any case, the question of the exact definition of the markets for the provision of diagnostics and hospital care can be left open insofar as the conclusions of the analysis remain unchanged regardless of the delimitation retained.</w:t>
        <w:br/>
        <w:t>DCC-57 of April 4, 2011; decision of the Competition Authority No. 11-DCC-37 of March 7, 2011; decision of the Competition Authority No. 09-DCC-68 of November 25, 2009; No. 15-DCC-155 of November 30, 2015 regarding the exclusive control of Hôpital Privé Métropole by Compagnie Générale de Santé and No. 16-DCC-125 of August 24, 2016 regarding the exclusive control of the companies Clinique Esquirol Saint Hilaire and Ware Système by Médipôle Partenaires; letter No. C2008-115 from the Minister of Economy, Finance and Industry dated December 5, 2008; letter No. C2006-105 from the Minister of Economy, Finance and Industry dated October 26, 2006 and letter No. C2005-125 from the Minister of Economy, Finance and Industry dated January 6, 2006 and decisions of the European Commission No. COMP/M.7221 – Bridgepoint Capital/Médi-Partenaires of April 28, 2014; No. COMP/M.5805 – 3i/Vedici Group of May 21, 2010; No. COMP/M.4788 – Rozier/BHS of August 21, 2007; No. COMP/M. 4367 – APW/APSA/Nordic Capital/Capio of March 16, 2007.</w:t>
        <w:br/>
        <w:t>5 Ibid</w:t>
        <w:br/>
        <w:t>6 Decision of the Competition Authority No. 14-DCC-79 of June 11, 2014; decision of the Competition Authority No. 13-DCC-164 of November 21, 2013; decision of the Competition Authority No. 11-DCC-57 of April 4, 2011; decision of the Competition Authority No. 11-DCC-37 of March 7, 2011; decision of the Competition Authority No. 09-DCC-68 of November 25, 2009.</w:t>
        <w:br/>
        <w:t>7 Decision of the Competition Authority No. 14-DCC-141 of September 24, 2014 and decision of the Competition Authority No. 14-DCC-79 of June 11, 2014; No. 15-DCC-155 of November 30, 2015 regarding the exclusive control of Hôpital Privé Métropole by Compagnie Générale de Santé and No. 16-DCC-125 of August 24, 2016 regarding the exclusive control of the companies Clinique Esquirol Saint Hilaire and Ware Système by Médipôle Partenaires.</w:t>
      </w:r>
    </w:p>
    <w:p>
      <w:r>
        <w:rPr>
          <w:b/>
        </w:rPr>
        <w:t>[Pages 4–6]</w:t>
      </w:r>
    </w:p>
    <w:p>
      <w:r>
        <w:t xml:space="preserve">B. GEOGRAPHICAL DELIMITATION OF MARKETS  </w:t>
        <w:br/>
        <w:t xml:space="preserve">12. The European Commission8, without definitively resolving the issue, suggests that the markets for the provision of diagnostics and hospital care have a local dimension extending to a radius corresponding to a 30-minute car journey.  </w:t>
        <w:br/>
        <w:t xml:space="preserve">13. National decision-making practice, taking into account the regulatory instruments used by the Regional Health Agencies (ARS), considers that the markets for the provision of diagnostics and hospital care have a local, departmental, or regional dimension, the scope of which depends on the specialty concerned by the healthcare provision market studied9. Competition authorities have notably observed that the size of patient catchment areas varies significantly, not only depending on the establishment and the medical-surgical specialties practiced there, but also depending on the region considered, its population density, and its level of equipment in hospital care establishments. The coverage by health insurance of transportation costs incurred by certain patients tends to increase their willingness to travel.  </w:t>
        <w:br/>
        <w:t xml:space="preserve">14. It is therefore necessary to examine, on a case-by-case basis, the importance of travel times between the establishments concerned. In previous decisions, the Authority has considered that patients could travel for a time not exceeding one hour in certain departments, such as Nord or Var.10  </w:t>
        <w:br/>
        <w:t xml:space="preserve">15. In any case, the question of the exact geographical delimitation of the markets for the provision of diagnostics and hospital care can be left open insofar as the conclusions of the analysis remain unchanged regardless of the hypothesis adopted.  </w:t>
        <w:br/>
        <w:t xml:space="preserve">III. Competitive Analysis  </w:t>
        <w:br/>
        <w:t xml:space="preserve">A. INTRODUCTION  </w:t>
        <w:br/>
        <w:t xml:space="preserve">16. To estimate market shares, the notifying party used the national public database of the medicalization program of the information systems of the technical agency for information on hospitalization, which compiles statistics from French healthcare establishments11.  </w:t>
        <w:br/>
        <w:t xml:space="preserve">8 See notably the European Commission decision of May 21, 2010, cited above, n° COMP/M.5805, 3i/Vedici.  </w:t>
        <w:br/>
        <w:t xml:space="preserve">9 See notably the letter from the Minister of Economy, Finance and Industry dated November 14, 2002, to the board of the company Médi-Partenaires regarding a concentration in the healthcare establishment sector in France; the letter from the Minister of Economy, Finance and Industry dated December 4, 2003, to the boards of the company Capio santé; the decisions of the Competition Authority n° 13-DCC-164 of November 21, 2013; n° 15-DCC-155 of November 30, 2015, regarding the exclusive control of Hôpital Privé Métropole by Compagnie Générale de Santé; and n° 16-DCC-125 of August 24, 2016, regarding the exclusive control of the companies Clinique Esquirol Saint Hilaire and Ware Système by Médipôle Partenaires.  </w:t>
        <w:br/>
        <w:t xml:space="preserve">10 Decisions of the Competition Authority n°14-DCC-79 of June 11, 2014 (§15 regarding the departments of Var and Aude), n°15-DCC-146 of October 26, 2015, regarding the exclusive control of Vitalia by Vedici Holding (§13 regarding the former Limousin region); n°15-DCC-155 of November 30, 2015, regarding the exclusive control of Hôpital Privé Métropole by Compagnie Générale de Santé (§12 regarding the former Nord-Pas-de-Calais region); and n° 16-DCC-125 of August 24, 2016, regarding the exclusive control of the companies Clinique Esquirol Saint Hilaire and Ware Système by Médipôle Partenaires.  </w:t>
        <w:br/>
        <w:t xml:space="preserve">11 These coded data allow for the classification of stays within a national statistical scale, the Homogeneous Groups of Stays (GHS), capable of defining at the regional and departmental level, the total number of sessions per establishment and per activity segment, and establishing market share estimates accordingly.  </w:t>
        <w:br/>
        <w:t xml:space="preserve">17. As noted by the Authority in previous decisions12, the examination of the horizontal effects of the operation must also take into account the specific pricing mechanisms in the relevant markets. Indeed, the tariffs for care services provided by public and private establishments are regulated and set annually at the national level, according to an activity-based pricing system (known as "T2A"). Each care activity corresponds to a flat-rate tariff for the service that the establishment can charge. Healthcare establishments cannot deviate from these tariffs. Additional fees for medical acts are solely at the initiative of the practitioners and not of the establishment in which they carry out their activities. Consequently, private clinics cannot unilaterally increase the tariff of the contracted care13 they provide. These flat-rate tariffs concern the majority of care services. For the remainder, ancillary services (known as "hotel" services) remain at the discretion of the establishments.  </w:t>
        <w:br/>
        <w:t xml:space="preserve">18. The operation does not result in overlapping activities either at the departmental or regional level, nor within a 30-minute car journey radius around each target establishment. However, the operation does result in overlapping activities within a 60-minute car journey radius around the target establishment located in Saumur.  </w:t>
        <w:br/>
        <w:t xml:space="preserve">B. HORIZONTAL EFFECTS  </w:t>
        <w:br/>
        <w:t xml:space="preserve">19. Prior to the operation, Ovalie operates two care establishments located within 60 minutes of the Clinique Chirurgicale de la Loire in Saumur, owned by 3H.  </w:t>
        <w:br/>
        <w:t xml:space="preserve">20. The notifying party has produced an analysis of the catchment area of each of the different clinics aimed at demonstrating that the geographical market corresponding to a 60-minute car journey radius is not relevant in this case. It notes that among the […] patients treated at the Clinique Chirurgicale de la Loire in Saumur, only [0-5] % resided in Tours/Chambray les Tours, where one of Ovalie's clinics is located, and that [0-5] % were located in Chinon, where the Clinique Jeanne d’Arc operated by Ovalie is situated. However, it provided the positions of the parties in this area. In any case, the question of the exact geographical delimitation of the markets for the provision of diagnostics and hospital care, and in particular the relevance of a catchment area corresponding to a 60-minute car journey, can be left open insofar as the conclusions of the analysis remain unchanged regardless of the hypothesis adopted.  </w:t>
        <w:br/>
        <w:t xml:space="preserve">21. The market share of the new entity within a 60-minute car journey radius around the Clinique Chirurgicale de la Loire in Saumur is below 25 % in all relevant markets, regardless of the segmentation considered, except for CMD 02 and 03 and 23, where it is between [20-30] % (CMD 02 for surgical acts) and [30-40] % (CMD 03 for non-surgical acts), with the new entity's position also rising to [20-30] % in the surgical acts segment for CMD 23.  </w:t>
        <w:br/>
        <w:t xml:space="preserve">22. The new entity will continue to face competition from numerous significant operators, both public and private, particularly the CHU de Tours (between [5-10] and [10-20] % on CMD 02 depending on whether an operative act is considered or not, between [10-20] % and [20-30] % on CMD 03, and between [5-10] % and [10-20] % on CMD 23) and the Clinique de l’Anjou, whose market shares range between [0-5] % and [30-40] % depending on the segments considered above.  </w:t>
        <w:br/>
        <w:t xml:space="preserve">23. The proposed operation is therefore not likely to harm competition through horizontal effects in the relevant markets.  </w:t>
        <w:br/>
        <w:t xml:space="preserve">C. RISK OF COORDINATION BETWEEN PARENT COMPANIES  </w:t>
        <w:br/>
        <w:t xml:space="preserve">24. A risk of harm to competition resulting from coordination between parent companies may be considered if they remain simultaneously present in the same markets or in markets related to those in which the joint venture operates.  </w:t>
        <w:br/>
        <w:t xml:space="preserve">25. As highlighted by the guidelines of the Competition Authority regarding the control of concentrations14, the risks of coordination between parent companies are analyzed based on three cumulative criteria: the existence of a causal link between the creation of the joint venture and the emergence of the risk of coordination, the degree of likelihood of coordination that must present an economic interest for the parent companies, and the significant effect on competition of the coordination.  </w:t>
        <w:br/>
        <w:t xml:space="preserve">26. In this case, Ovalie and Saint Gatien are simultaneously active in the markets for the provision of diagnostics and hospital care, in the Centre-Val de Loire region and particularly in Indre-et-Loire. However, their activities do not overlap in the catchment areas where the target is present, making the existence of a causal link between the joint control of 3H and the risk of coordination between them unlikely.  </w:t>
        <w:br/>
        <w:t xml:space="preserve">27. Consequently, the risk of harm to competition through coordination of the competitive behaviors of the parties can be ruled out.  </w:t>
        <w:br/>
        <w:t>14 Paragraphs 526 and following.</w:t>
      </w:r>
    </w:p>
    <w:p>
      <w:r>
        <w:rPr>
          <w:b/>
        </w:rPr>
        <w:t>[Pages 7–7]</w:t>
      </w:r>
    </w:p>
    <w:p>
      <w:r>
        <w:t xml:space="preserve">DECIDES  </w:t>
        <w:br/>
        <w:t xml:space="preserve">Sole Article: The operation notified under number 16-171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