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https://www.autoritedelaconcurrence.fr/fr/decision-de-controle-des-concentrations/relative-la-prise-de-controle-conjoint-par-les-societes-2</w:t>
      </w:r>
    </w:p>
    <w:p>
      <w:r>
        <w:t>Pages translated : 2</w:t>
      </w:r>
    </w:p>
    <w:p/>
    <w:p>
      <w:r>
        <w:rPr>
          <w:b/>
        </w:rPr>
        <w:t>[Pages 1–2]</w:t>
      </w:r>
    </w:p>
    <w:p>
      <w:r>
        <w:t xml:space="preserve">FRENCH REPUBLIC  </w:t>
        <w:br/>
        <w:t xml:space="preserve">Decision No. 19-DCC-02 of January 9, 2019  </w:t>
        <w:br/>
        <w:t xml:space="preserve">regarding the joint control acquisition by the companies Anthova and  </w:t>
        <w:br/>
        <w:t xml:space="preserve">ITM Entreprises of the company DALO  </w:t>
        <w:br/>
        <w:t xml:space="preserve">The Competition Authority,  </w:t>
        <w:br/>
        <w:t xml:space="preserve">Having regard to the notification file sent to the mergers department on November 9, 2018, and  </w:t>
        <w:br/>
        <w:t xml:space="preserve">declared complete on December 4, 2018, concerning the joint control acquisition by the companies  </w:t>
        <w:br/>
        <w:t xml:space="preserve">Anthova and ITM Entreprises of the company DALO, materialized by a transfer protocol dated  </w:t>
        <w:br/>
        <w:t xml:space="preserve">December 19, 2017, and a transfer protocol dated November 6, 2018;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by the companies Anthova and ITM  </w:t>
        <w:br/>
        <w:t xml:space="preserve">Entreprises of the company DALO, which operates a food-dominant retail outlet of the hypermarket type under the Intermarché brand with an area of 3,500 m² located in the city of  </w:t>
        <w:br/>
        <w:t xml:space="preserve">Dolus-d’Oléron (17). It constitutes a concentration operation within the meaning of Article L. 430-1 of the Commercial Code. Given the turnover achieved by the companies involved, the operation does not fall under the jurisdiction of the European Union. On the other hand, the retail control thresholds mentioned in point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18-263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