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https://www.autoritedelaconcurrence.fr/fr/decision-de-controle-des-concentrations/relative-la-prise-de-controle-conjoint-par-les-societes-3</w:t>
      </w:r>
    </w:p>
    <w:p>
      <w:r>
        <w:t>Pages translated : 2</w:t>
      </w:r>
    </w:p>
    <w:p/>
    <w:p>
      <w:r>
        <w:rPr>
          <w:b/>
        </w:rPr>
        <w:t>[Pages 1–2]</w:t>
      </w:r>
    </w:p>
    <w:p>
      <w:r>
        <w:t xml:space="preserve">FRENCH REPUBLIC  </w:t>
        <w:br/>
        <w:t xml:space="preserve">Decision No. 19-DCC-110 of June 4, 2019  </w:t>
        <w:br/>
        <w:t xml:space="preserve">regarding the joint control acquisition by the companies Cazabarda and  </w:t>
        <w:br/>
        <w:t xml:space="preserve">ITM Entreprises of the company Mirane  </w:t>
        <w:br/>
        <w:t xml:space="preserve">The Competition Authority,  </w:t>
        <w:br/>
        <w:t xml:space="preserve">Having regard to the complete notification file submitted to the mergers department on April 25, 2019,  </w:t>
        <w:br/>
        <w:t xml:space="preserve">concerning the joint control acquisition by the companies Cazabarda and ITM Entreprises of the company  </w:t>
        <w:br/>
        <w:t xml:space="preserve">Mirane, and formalized by a memorandum of understanding signed on April 12, 2019;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Cazabarda and ITM  </w:t>
        <w:br/>
        <w:t xml:space="preserve">Entreprises of the company Mirane, which operates a food-dominant retail outlet of supermarket type under the Intermarché brand with a surface area of 1,383 m² located in Bazas (33).  </w:t>
        <w:br/>
        <w:t xml:space="preserve">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19-112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