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https://www.autoritedelaconcurrence.fr/fr/decision-de-controle-des-concentrations/relative-la-prise-de-controle-conjoint-par-les-societes-4</w:t>
      </w:r>
    </w:p>
    <w:p>
      <w:r>
        <w:t>Pages translated : 2</w:t>
      </w:r>
    </w:p>
    <w:p/>
    <w:p>
      <w:r>
        <w:rPr>
          <w:b/>
        </w:rPr>
        <w:t>[Pages 1–2]</w:t>
      </w:r>
    </w:p>
    <w:p>
      <w:r>
        <w:t xml:space="preserve">REPUBLIC OF FRANCE  </w:t>
        <w:br/>
        <w:t xml:space="preserve">Decision No. 19-DCC-118 of June 21, 2019  </w:t>
        <w:br/>
        <w:t xml:space="preserve">regarding the joint control acquisition by the companies Oaktree Capital Group and Coffim Groupe of the company Coffim  </w:t>
        <w:br/>
        <w:t xml:space="preserve">The Competition Authority,  </w:t>
        <w:br/>
        <w:t xml:space="preserve">Having regard to the complete notification file sent to the mergers department on May 20, 2019, concerning the joint control acquisition by the companies Oaktree Capital Group LLC (hereinafter "Oaktree") and Coffim Groupe of the company Coffim SAS and its subsidiaries, excluding asset management companies (hereinafter "Coffim"), formalized by an investment agreement dated April 18,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Oaktree and Coffim Groupe of the company Coffim, which is active in the real estate services sector.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real estate services and long-term accommodation for young people, which are consistently defined by the decision-making practice of the Competition Authority. Given the activities of the parties, the operation is likely to produce vertical effects in these markets.  </w:t>
        <w:br/>
        <w:t xml:space="preserve">3. However, regardless of the segmentation considered, the combined market shares of the parties are below 30%.  </w:t>
        <w:br/>
        <w:t>4. Given the elements of the file and in particular in light of point 384 of the guidelines of the Competition Authority relating to the control of concentrations, the operation is not likely to harm competition.</w:t>
      </w:r>
    </w:p>
    <w:p>
      <w:r>
        <w:t xml:space="preserve">DECIDES  </w:t>
        <w:br/>
        <w:t xml:space="preserve">Sole Article: The operation notified under number 19-128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