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https://www.autoritedelaconcurrence.fr/fr/decision-de-controle-des-concentrations/relative-la-prise-de-controle-conjoint-par-les-societes-6</w:t>
      </w:r>
    </w:p>
    <w:p>
      <w:r>
        <w:t>Pages translated : 2</w:t>
      </w:r>
    </w:p>
    <w:p/>
    <w:p>
      <w:r>
        <w:rPr>
          <w:b/>
        </w:rPr>
        <w:t>[Pages 1–2]</w:t>
      </w:r>
    </w:p>
    <w:p>
      <w:r>
        <w:t xml:space="preserve">FRENCH REPUBLIC  </w:t>
        <w:br/>
        <w:t xml:space="preserve">Decision No. 20-DCC-69 of May 19, 2020  </w:t>
        <w:br/>
        <w:t xml:space="preserve">regarding the joint control acquisition by the companies Aram Financial and Victor Bellier Participation of 4 retail stores with a food-dominant focus  </w:t>
        <w:br/>
        <w:t xml:space="preserve">The Competition Authority,  </w:t>
        <w:br/>
        <w:t xml:space="preserve">Having regard to the complete notification file sent to the mergers department on April 6, 2020, concerning the joint control acquisition by the companies Aram Financial and Victor Bellier Participation of 4 retail stores with a food-dominant focus, formalized by a memorandum of understanding dated July 12, 2019;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Aram Financial and Victor Bellier Participation of 4 retail stores with a food-dominant focus located in Sainte-Marie, Saint-André, Saint-Denis, and Saint-Paul in Réunion. It constitutes a concentration within the meaning of Article L. 430-1 of the Commercial Code. Given the turnover achieved by the companies concerned, the operation does not fall under the jurisdiction of the European Union. However, the control thresholds related to retail trade mentioned in point III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the supply and distribution of food products, which are consistently defined by the decision-making practice of the Competition Authority.  </w:t>
        <w:br/>
        <w:t xml:space="preserve">3. Regardless of the segmentations retained, the combined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20-067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