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https://www.autoritedelaconcurrence.fr/fr/decision-de-controle-des-concentrations/relative-la-prise-de-controle-conjoint-par-les-societes-7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23-DCC-166 of August 17, 2023  </w:t>
        <w:br/>
        <w:t xml:space="preserve">regarding the creation of a joint venture by the companies  </w:t>
        <w:br/>
        <w:t xml:space="preserve">Doumax and ITM Entreprises  </w:t>
        <w:br/>
        <w:t xml:space="preserve">The Competition Authority,  </w:t>
        <w:br/>
        <w:t xml:space="preserve">Having regard to the complete notification file submitted to the mergers department on July 31, 2023,  </w:t>
        <w:br/>
        <w:t xml:space="preserve">concerning the creation of a full-function joint venture by the company Doumax and the  </w:t>
        <w:br/>
        <w:t xml:space="preserve">company ITM Entreprises, formalized by the signing of the statutes of the newly created company on November 17,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of a full-function joint venture by the  </w:t>
        <w:br/>
        <w:t xml:space="preserve">company Doumax and the company ITM Entreprises. The newly created company will have as its object  </w:t>
        <w:br/>
        <w:t xml:space="preserve">the holding and management for its own account of a commercial real estate asset of  </w:t>
        <w:br/>
        <w:t xml:space="preserve">9,602 m2 located in Bessan (34). This commercial project will include a predominantly food store under the brand "Intermarché" with a sales area of 3,500 m2, a shopping gallery, and a plot intended for restaurant activities. The operation constitutes a concentration operation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retail control thresholds mentioned in II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23-181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