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https://www.autoritedelaconcurrence.fr/fr/decision-de-controle-des-concentrations/relative-la-prise-de-controle-conjoint-par-les-societes-itm</w:t>
      </w:r>
    </w:p>
    <w:p>
      <w:r>
        <w:t>Pages translated : 2</w:t>
      </w:r>
    </w:p>
    <w:p/>
    <w:p>
      <w:r>
        <w:rPr>
          <w:b/>
        </w:rPr>
        <w:t>[Pages 1–2]</w:t>
      </w:r>
    </w:p>
    <w:p>
      <w:r>
        <w:t xml:space="preserve">FRENCH REPUBLIC  </w:t>
        <w:br/>
        <w:t xml:space="preserve">Decision No. 18-DCC-170 of October 18, 2018  </w:t>
        <w:br/>
        <w:t xml:space="preserve">regarding the joint control acquisition by the companies  </w:t>
        <w:br/>
        <w:t xml:space="preserve">ITM Entreprises, Reunited, and Stenivest of a food distribution business under the Intermarché brand  </w:t>
        <w:br/>
        <w:t xml:space="preserve">The Competition Authority,  </w:t>
        <w:br/>
        <w:t xml:space="preserve">Having regard to the complete notification file sent to the mergers department on  </w:t>
        <w:br/>
        <w:t xml:space="preserve">September 21, 2018, concerning the joint control acquisition by the companies ITM Entreprises,  </w:t>
        <w:br/>
        <w:t xml:space="preserve">Reunited, and Stenivest of a food distribution business under the Intermarché brand, formalized by a protocol agreement for the transfer of business dated  </w:t>
        <w:br/>
        <w:t xml:space="preserve">September 17,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ITM Entreprises,  </w:t>
        <w:br/>
        <w:t xml:space="preserve">Reunited, and Stenivest of a predominantly food business, operated under the Intermarché brand, with a surface area of 1,400 m², located in the city of Vonnas (01). It constitutes a concentration operation within the meaning of Article L. 430-1 of the Commercial Code. Given the turnover generated by the companies involved,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18-213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