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https://www.autoritedelaconcurrence.fr/fr/decision-de-controle-des-concentrations/relative-la-prise-de-controle-conjoint-par-les-societes-scg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12-DCC-167 of December 3, 2012  </w:t>
        <w:br/>
        <w:t xml:space="preserve">regarding the joint control acquisition by the companies SCG and  </w:t>
        <w:br/>
        <w:t xml:space="preserve">Amidis et Cie (Carrefour Group) of the companies Solandis and Sodistours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2, 2012, concerning the joint control acquisition of the companies Solandis and Sodistours by  </w:t>
        <w:br/>
        <w:t xml:space="preserve">the company Amidis et Cie (Carrefour Group) and the company SCG materialized by a framework agreement  </w:t>
        <w:br/>
        <w:t xml:space="preserve">under suspensive conditions dated October 3,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SCG SAS is a company under French law that operates prior to the transaction 2 retail businesses  </w:t>
        <w:br/>
        <w:t xml:space="preserve">predominantly in food, under the Carrefour Market brand, located in the  </w:t>
        <w:br/>
        <w:t xml:space="preserve">cities of Azay-le-Rideau and Tours (37). The capital of the company SCG is held 50% by  </w:t>
        <w:br/>
        <w:t xml:space="preserve">Mr. [X], and 50% by Mr. [Y]. The notified operation consists of the joint control acquisition  </w:t>
        <w:br/>
        <w:t xml:space="preserve">of the companies Solandis and Sodistours, which will operate two* retail businesses  </w:t>
        <w:br/>
        <w:t xml:space="preserve">predominantly in food under the Carrefour Market brand with respective areas of 3,200 m² in Langeais (37),  </w:t>
        <w:br/>
        <w:t xml:space="preserve">and 1,700 m² in Tours (37) by the company Amidis et Cie, a subsidiary of the Carrefour group, and the company SCG. It constitutes a  </w:t>
        <w:br/>
        <w:t xml:space="preserve">concentration operation within the meaning of Article L. 430-1 of the Commercial Code. Given the turnover  </w:t>
        <w:br/>
        <w:t xml:space="preserve">achieved by the companies concerned, the operation does not have a community dimension. On the other hand, the control thresholds related to retail trade mentioned  </w:t>
        <w:br/>
        <w:t xml:space="preserve">in point II of Article L. 430-2 of the Commercial Code are exceeded. The present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view of the elements of the file, the operation is not likely to harm  </w:t>
        <w:br/>
        <w:t xml:space="preserve">competition in the relevant markets.  </w:t>
        <w:br/>
        <w:t>* Correction of material error.</w:t>
      </w:r>
    </w:p>
    <w:p>
      <w:r>
        <w:t xml:space="preserve">DECIDES  </w:t>
        <w:br/>
        <w:t xml:space="preserve">Sole Article: The operation notified under number 12-179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