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https://www.autoritedelaconcurrence.fr/fr/decision-de-controle-des-concentrations/relative-la-prise-de-controle-conjoint-par-les-societes</w:t>
      </w:r>
    </w:p>
    <w:p>
      <w:r>
        <w:t>Pages translated : 6</w:t>
      </w:r>
    </w:p>
    <w:p/>
    <w:p>
      <w:r>
        <w:rPr>
          <w:b/>
        </w:rPr>
        <w:t>[Pages 1–3]</w:t>
      </w:r>
    </w:p>
    <w:p>
      <w:r>
        <w:t xml:space="preserve">FRENCH REPUBLIC  </w:t>
        <w:br/>
        <w:t xml:space="preserve">Decision No. 10-DCC-187 of December 13, 2010  </w:t>
        <w:br/>
        <w:t xml:space="preserve">regarding the joint control by the companies  </w:t>
        <w:br/>
        <w:t xml:space="preserve">Retail Leader Price Investissement (Casino group) and Sébastien G  </w:t>
        <w:br/>
        <w:t xml:space="preserve">of the company RLPG Développement  </w:t>
        <w:br/>
        <w:t xml:space="preserve">as well as the control by RLPG of five stores  </w:t>
        <w:br/>
        <w:t>distributing food products under the Leader Price brand</w:t>
      </w:r>
    </w:p>
    <w:p>
      <w:r>
        <w:t xml:space="preserve">The Competition Authority,  </w:t>
        <w:br/>
        <w:t xml:space="preserve">Having regard to the notification file sent in full to the concentrations service on  </w:t>
        <w:br/>
        <w:t xml:space="preserve">November 12, 2010, regarding the joint control of the company RLPG by the companies  </w:t>
        <w:br/>
        <w:t xml:space="preserve">RLPI and Sébastien G as well as the acquisition by RLPG of five stores distributing  </w:t>
        <w:br/>
        <w:t xml:space="preserve">food products under the Leader Price brand, formalized by a protocol of agreement dated  </w:t>
        <w:br/>
        <w:t xml:space="preserve">November 5, 2010;  </w:t>
        <w:br/>
        <w:t xml:space="preserve">Having regard to Book IV of the Commercial Code relating to the freedom of prices and  </w:t>
        <w:br/>
        <w:t xml:space="preserve">competition, and in particular its Articles L. 430-1 to L. 430-7;  </w:t>
        <w:br/>
        <w:t xml:space="preserve">Having regard to the supplementary elements transmitted by the parties during the  </w:t>
        <w:br/>
        <w:t xml:space="preserve">investigation;  </w:t>
        <w:br/>
        <w:t>Adopts the following decision:</w:t>
      </w:r>
    </w:p>
    <w:p>
      <w:r>
        <w:t xml:space="preserve">I. The concerned companies and the operation  </w:t>
        <w:br/>
        <w:t xml:space="preserve">1. The company Retail Leader Price Investissement (hereinafter "RLPI"), a subsidiary of the  </w:t>
        <w:br/>
        <w:t xml:space="preserve">Casino Guichard Perrachon group, has as its main object the acquisition of stakes in  </w:t>
        <w:br/>
        <w:t xml:space="preserve">companies operating stores under the Leader Price brand. RLPI notably exercises  </w:t>
        <w:br/>
        <w:t xml:space="preserve">exclusive control over the companies LD Aunis Saintonge, LD Charente Maritime, and LD  </w:t>
        <w:br/>
        <w:t xml:space="preserve">Distribution Poitou Charentes. The Casino group, the third largest French player in the  </w:t>
        <w:br/>
        <w:t xml:space="preserve">food-dominated distribution sector, manages a network of over 10,000 stores  </w:t>
        <w:br/>
        <w:t xml:space="preserve">(hypermarkets, supermarkets, convenience stores, discount stores...) under the brands  </w:t>
        <w:br/>
        <w:t xml:space="preserve">Casino, Franprix, Spar, Vival, Naturalia, and Leader Price. The Casino group also holds  </w:t>
        <w:br/>
        <w:t xml:space="preserve">50% of the Monoprix group. It is also present in the internet distribution sector of  </w:t>
        <w:br/>
        <w:t xml:space="preserve">non-food products with the brand Cdiscount. The Casino group belongs to the Euris  </w:t>
        <w:br/>
        <w:t xml:space="preserve">group, which is itself controlled by Mr. Jean-Charles Naouri.  </w:t>
        <w:br/>
        <w:t xml:space="preserve">2. The company Sébastien G, whose capital is entirely held by Sébastien Guérin, is active in  </w:t>
        <w:br/>
        <w:t xml:space="preserve">the retail sector through its participation in RLPG Développement, real estate, and  </w:t>
        <w:br/>
        <w:t xml:space="preserve">venture capital financial activities.  </w:t>
        <w:br/>
        <w:t xml:space="preserve">3. RLPG Développement (hereinafter "RLPG"), has as its main activity the operation and  </w:t>
        <w:br/>
        <w:t xml:space="preserve">development of stores under the Leader Price brand. It is owned 49% by RLPI, 26% by  </w:t>
        <w:br/>
        <w:t xml:space="preserve">Sébastien G, and 25% by Tradlux. It results from the statutes and the shareholders'  </w:t>
        <w:br/>
        <w:t xml:space="preserve">agreement of RLPG as well as the elements provided by the parties that it is not controlled  </w:t>
        <w:br/>
        <w:t xml:space="preserve">by any of its shareholders.  </w:t>
        <w:br/>
        <w:t xml:space="preserve">4. Under a protocol of agreement dated November 5, 2010, (i) RLPI committed to acquire  </w:t>
        <w:br/>
        <w:t xml:space="preserve">Tradelux's stake in RLPG, (ii) RLPG committed to acquire from RLPI the entirety of the  </w:t>
        <w:br/>
        <w:t xml:space="preserve">capital of the companies LD Aunis Saintonge, LD Charente Maritime, and LD  </w:t>
        <w:br/>
        <w:t xml:space="preserve">Distribution Poitou Charentes.  </w:t>
        <w:br/>
        <w:t xml:space="preserve">5. Following the operation, the capital and voting rights of RLPG will be held 74% by RLPI  </w:t>
        <w:br/>
        <w:t xml:space="preserve">and 26% by Sébastien G. Under the new statutes and shareholders' agreement of RLPG, it  </w:t>
        <w:br/>
        <w:t xml:space="preserve">will be equipped with a supervisory committee of three members, two of whom will be  </w:t>
        <w:br/>
        <w:t xml:space="preserve">designated from candidates proposed by RLPI and one from candidates proposed by  </w:t>
        <w:br/>
        <w:t xml:space="preserve">Sébastien G. Decisions of RLPI are made by a simple majority, necessarily including the  </w:t>
        <w:br/>
        <w:t xml:space="preserve">agreement of one of the members designated on the proposal of RLPI and the agreement of  </w:t>
        <w:br/>
        <w:t xml:space="preserve">the member designated by Sébastien G. It follows from the above that RLPI and  </w:t>
        <w:br/>
        <w:t xml:space="preserve">Sébastien G will exercise joint control over RLPG and thus over LD Aunis Saintonge, LD  </w:t>
        <w:br/>
        <w:t xml:space="preserve">Charente Maritime, and LD Distribution Poitou Charentes via RLPG.  </w:t>
        <w:br/>
        <w:t xml:space="preserve">6. The two operations pursue a single economic objective and were the subject of a  </w:t>
        <w:br/>
        <w:t xml:space="preserve">simultaneous conclusion on November 5, 2010, intended and organized by the parties. The  </w:t>
        <w:br/>
        <w:t xml:space="preserve">European Commission specifies that: "operations that constitute a whole based on the  </w:t>
        <w:br/>
        <w:t xml:space="preserve">economic objectives pursued by the parties must also be assessed within the framework of  </w:t>
        <w:br/>
        <w:t xml:space="preserve">a single procedure. In these cases, the modification of the market structure is induced by  </w:t>
        <w:br/>
        <w:t xml:space="preserve">the entirety of these operations taken together." Consequently, the two operations referred  </w:t>
        <w:br/>
        <w:t xml:space="preserve">to above constitute a single concentration within the meaning of Article L. 430-1 of the  </w:t>
        <w:br/>
        <w:t xml:space="preserve">Commercial Code.  </w:t>
        <w:br/>
        <w:t xml:space="preserve">7. The concerned companies operate one or more retail stores and together achieve a total  </w:t>
        <w:br/>
        <w:t xml:space="preserve">worldwide turnover of more than 75 million euros (Casino group: 26.7 billion euros for  </w:t>
        <w:br/>
        <w:t xml:space="preserve">the fiscal year ending December 31, 2009; the company Sébastien G: 0.43 million euros;  </w:t>
        <w:br/>
        <w:t xml:space="preserve">the company RLPG: 119 million euros for the same year). Two of the concerned companies  </w:t>
        <w:br/>
        <w:t xml:space="preserve">achieve in France a turnover exceeding 15 million euros in the retail sector (Casino group:  </w:t>
        <w:br/>
        <w:t xml:space="preserve">17 billion euros for the fiscal year ending December 31, 2009; the company RLPG: the  </w:t>
        <w:br/>
        <w:t xml:space="preserve">turnover mentioned above is entirely achieved in France). Given these turnover figures,  </w:t>
        <w:br/>
        <w:t xml:space="preserve">the operation does not have a community dimension. On the other hand, the control  </w:t>
        <w:br/>
        <w:t xml:space="preserve">thresholds related to retail mentioned in point II of Article L. 430-2 of the Commercial  </w:t>
        <w:br/>
        <w:t xml:space="preserve">Code are exceeded. The present operation is therefore subject to the provisions of  </w:t>
        <w:br/>
        <w:t>Articles L. 430-3 and following of the Commercial Code relating to economic concentration.</w:t>
      </w:r>
    </w:p>
    <w:p>
      <w:r>
        <w:t xml:space="preserve">II. Delimitation of Relevant Markets  </w:t>
        <w:br/>
        <w:t xml:space="preserve">8. According to the consistent practice of national and community competition authorities,  </w:t>
        <w:br/>
        <w:t xml:space="preserve">two categories of markets can be delineated in the food-dominated distribution sector.  </w:t>
        <w:br/>
        <w:t xml:space="preserve">These are, on the one hand, the "downstream" markets, of local dimension, which bring  </w:t>
        <w:br/>
        <w:t xml:space="preserve">together retail businesses and consumers for the sale of consumer goods, and on the other  </w:t>
        <w:br/>
        <w:t xml:space="preserve">hand, the "upstream" markets for the supply of retail businesses with everyday consumer  </w:t>
        <w:br/>
        <w:t>goods, of national dimension.</w:t>
      </w:r>
    </w:p>
    <w:p>
      <w:r>
        <w:t xml:space="preserve">A. DOWNSTREAM MARKETS OF DISTRIBUTION  </w:t>
        <w:br/>
        <w:t xml:space="preserve">1. SERVICE MARKETS  </w:t>
        <w:br/>
        <w:t xml:space="preserve">9. Regarding the retail sale of everyday consumer goods, competition authorities, both  </w:t>
        <w:br/>
        <w:t xml:space="preserve">community and national, have distinguished six categories of commerce using several  </w:t>
        <w:br/>
        <w:t xml:space="preserve">criteria, including the size of the stores, their sales techniques, their accessibility, the  </w:t>
        <w:br/>
        <w:t xml:space="preserve">nature of the service provided, and the range of products offered: (i) hypermarkets, (ii)  </w:t>
        <w:br/>
        <w:t xml:space="preserve">supermarkets, (iii) specialized commerce, (iv) small retail, (v) maxi discounters, (vi)  </w:t>
        <w:br/>
        <w:t xml:space="preserve">mail order sales.  </w:t>
        <w:br/>
        <w:t xml:space="preserve">10. Hypermarkets are usually defined as food-dominated stores with a sales area equal to or  </w:t>
        <w:br/>
        <w:t xml:space="preserve">greater than 2,500 m², and supermarkets as food-dominated stores with a sales area  </w:t>
        <w:br/>
        <w:t xml:space="preserve">less than 2,500 m² and greater than 400 m². However, it should be noted that these  </w:t>
        <w:br/>
        <w:t xml:space="preserve">thresholds must be used with caution and may be adapted to the specific case, as stores  </w:t>
        <w:br/>
        <w:t xml:space="preserve">whose area is close to a threshold, either below or above, may find themselves in direct  </w:t>
        <w:br/>
        <w:t xml:space="preserve">competition with stores of another category.  </w:t>
        <w:br/>
        <w:t>11. In this case, the 29 acquired stores fall into the category of supermarkets.</w:t>
      </w:r>
    </w:p>
    <w:p>
      <w:r>
        <w:rPr>
          <w:b/>
        </w:rPr>
        <w:t>[Pages 4–6]</w:t>
      </w:r>
    </w:p>
    <w:p>
      <w:r>
        <w:t xml:space="preserve">2. GEOGRAPHICAL DELIMITATION  </w:t>
        <w:br/>
        <w:t xml:space="preserve">12. In its recent decisions concerning operations involving hypermarkets or supermarkets, the Competition Authority has reiterated that, depending on the size of the stores involved, competition conditions must be assessed in two different areas:  </w:t>
        <w:br/>
        <w:t xml:space="preserve">- a first market where the demand of consumers from a zone meets the supply of hypermarkets accessible to them within less than 30 minutes by car and which are, from their point of view, substitutable with each other;  </w:t>
        <w:br/>
        <w:t xml:space="preserve">- a second market where the demand of consumers meets the supply of supermarkets and equivalent forms of commerce located within less than 15 minutes by car. These latter forms of commerce may include, among others, supermarkets, hypermarkets located near consumers, and discount stores.  </w:t>
        <w:br/>
        <w:t xml:space="preserve">13. Other criteria may nevertheless be taken into account to assess the impact of a concentration on the competitive situation in the retail distribution markets, which may lead to refining, in the specific case, the usual delimitations presented above.  </w:t>
        <w:br/>
        <w:t xml:space="preserve">14. In the specific case, as the stores operated by the parties fall into the category of supermarkets, a catchment area of 15 minutes has been retained around the 29 concerned stores.  </w:t>
        <w:br/>
        <w:t xml:space="preserve">15. The investigation revealed that the operation involved an overlap of activity in the following 17 areas: Angoulême (16), Angoulins sur Mer (17), Chambrey les Tours (37), Châteauroux (16), Ville aux Dames (37), Lagord (17), Lusignan (86), Montmormillon (86), Saint Cyr sur Loire (37), Savigné (86), Saint Benoît (86), Tours (37), Jardres (86), Champniers (16), Cinq Mars la Pile (37), Confolens (16), and Loudun (86).  </w:t>
        <w:br/>
        <w:t xml:space="preserve">B. UPSTREAM SUPPLY MARKET  </w:t>
        <w:br/>
        <w:t xml:space="preserve">16. Regarding the supply markets, the European Commission has recognized the existence of markets of national dimension by major product groups, a delimitation followed by national authorities.  </w:t>
        <w:br/>
        <w:t xml:space="preserve">17. There is no need to challenge this delimitation in the context of the present operation.  </w:t>
        <w:br/>
        <w:t xml:space="preserve">III. Competitive Analysis  </w:t>
        <w:br/>
        <w:t xml:space="preserve">A. DOWNSTREAM MARKETS OF FOOD-DOMINATED DISTRIBUTION  </w:t>
        <w:br/>
        <w:t xml:space="preserve">18. Regarding the companies sold by RLPI to RLPG, as Sébastien G and RLPG were not present, on the eve of the operation, in any of the areas where the stores of these companies are located, the operation will not lead to any addition of market share at the local level.  </w:t>
        <w:br/>
        <w:t xml:space="preserve">19. Regarding the companies operated via RLPG on the eve of the operation, the operation involves an overlap with other stores owned by the Casino group in the following 17 catchment areas: Angoulême (16), Angoulins sur Mer (17), Chambrey les Tours (37), Châteauroux (16), Ville aux Dames (37), Lagord (17), Lusignan (86), Montmormillon (86), Saint Cyr sur Loire (37), Savigné (86), Saint Benoît (86), Tours (37), Jardres (86), Champniers (16), Cinq Mars la Pile (37), Confolens (16), and Loudun (86). There is no cumulative market share with Sébastien G, who does not control any other store outside those held by RLPG.  </w:t>
        <w:br/>
        <w:t xml:space="preserve">Total Group after  </w:t>
        <w:br/>
        <w:t xml:space="preserve">Target Zone Competitor 1 Competitor 2  </w:t>
        <w:br/>
        <w:t xml:space="preserve">Casino operation  </w:t>
        <w:br/>
        <w:t xml:space="preserve">Châteauroux [0-5]% [0-5]% [0-5]% Carrefour [30-40]% Auchan [20-30]%  </w:t>
        <w:br/>
        <w:t xml:space="preserve">Angoulins sur Mer [0-5]% [0-5]% [5-10]% Carrefour [40-50]% Intermarché [20-30]%  </w:t>
        <w:br/>
        <w:t xml:space="preserve">Ville aux Dames [0-5]% [0-5]% [5-10]% Auchan [20-30]% Carrefour [20-30]%  </w:t>
        <w:br/>
        <w:t xml:space="preserve">Angoulême [5-10]% [0-5]% [5-10]% Carrefour [20-30]% Intermarché [20-30]%  </w:t>
        <w:br/>
        <w:t xml:space="preserve">Lagord [0-5]% [0-5]% [5-10]% Carrefour [30-40]% Intermarché [20-30]%  </w:t>
        <w:br/>
        <w:t xml:space="preserve">Montmormillon [5-10]% [0-5]% [10-20]% Leclerc [40-50]% Carrefour [30-40]%  </w:t>
        <w:br/>
        <w:t xml:space="preserve">Saint Cyr sur Loire [0-5]% [10-20]% [10-20]% Auchan [30-40]% Carrefour [10-20]%  </w:t>
        <w:br/>
        <w:t xml:space="preserve">Chambray les Tours [0-5]% [10-20]% [10-20]% Auchan [30-40]% Carrefour [10-20]%  </w:t>
        <w:br/>
        <w:t xml:space="preserve">Tours [0-5]% [5-10]% [10-20]% Auchan [30-40]% Carrefour [10-20]%  </w:t>
        <w:br/>
        <w:t xml:space="preserve">Savigné [10-20]% [0-5]% [10-20]% Intermarché [40-50]% Carrefour [20-30]%  </w:t>
        <w:br/>
        <w:t xml:space="preserve">Lusignan [10-20]% [5-10]% [20-30]% Système U [30-40]% Intermarché [20-30]%  </w:t>
        <w:br/>
        <w:t xml:space="preserve">Saint Benoît [0-5]% [20-30]% [20-30]% Leclerc [10-20]% Intermarché [10-20]%  </w:t>
        <w:br/>
        <w:t xml:space="preserve">Jardres [10-20]% [10-20]% [20-30]% Intermarché [20-30]% Carrefour [20-30]%  </w:t>
        <w:br/>
        <w:t xml:space="preserve">Loudun [10-20]% [5-10]% [20-30]% Leclerc [50-60]% Carrefour [20-30]%  </w:t>
        <w:br/>
        <w:t xml:space="preserve">Champniers [5-10]% [20-30]% [30-40]% Intermarché [30-40]% Leclerc [10-20]%  </w:t>
        <w:br/>
        <w:t xml:space="preserve">Cinq Mars la Pile [30-40]% [5-10]% [30-40]% Carrefour [60-70]%  </w:t>
        <w:br/>
        <w:t xml:space="preserve">Confolens [10-20]% [20-30]% [30-40]% Intermarché [20-30]% Lidl [10-20]%  </w:t>
        <w:br/>
        <w:t xml:space="preserve">20. In 13 of the aforementioned 17 areas, the market share of the Casino group will remain, following the present operation, below 25%. In these 13 areas, the new entity will also face strong competition, particularly from the Carrefour, Auchan, Intermarché, and Leclerc groups.  </w:t>
        <w:br/>
        <w:t xml:space="preserve">21. In the remaining four areas, the new entity will only be a leader in two of them. In the Champniers area, the stores of the Casino group will continue to face competition from Intermarché, which holds [30-40]% of the sales area, as well as from Leclerc ([10-20]%). In the Confolens area, the stores of the Casino group will continue to face competition from Intermarché, which holds [20-30]% of the sales area, as well as from Lidl ([10-20]%) and Aldi ([10-20]%).  </w:t>
        <w:br/>
        <w:t xml:space="preserve">22. Given all these elements, the operation is not likely to harm competition in the downstream market of food-dominated distribution.  </w:t>
        <w:br/>
        <w:t xml:space="preserve">B. UPSTREAM SUPPLY MARKETS  </w:t>
        <w:br/>
        <w:t xml:space="preserve">23. Regarding the upstream supply markets, it should be noted that the operation is limited to 29 stores representing, in 2009, less than 1% of the turnover achieved by the Casino group in France under the Franprix/Leader-Price brand and less than 1% of the national turnover generated by the entire food distribution activity of the group. The acquisition of RLPG is therefore not likely to significantly strengthen the purchasing power of the Casino group, across all products as well as by major product groups. The strengthening is all the more minor as, prior to the operation, the stores subject to the notified operation were already sourcing almost exclusively through the purchasing center Distribution Leader Price, a subsidiary of the Casino group.  </w:t>
        <w:br/>
        <w:t xml:space="preserve">DECIDES  </w:t>
        <w:br/>
        <w:t xml:space="preserve">Sole Article: The operation notified under number 10-0192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