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https://www.autoritedelaconcurrence.fr/fr/decision-de-controle-des-concentrations/relative-la-prise-de-controle-conjoint-par-m-et-mme-0</w:t>
      </w:r>
    </w:p>
    <w:p>
      <w:r>
        <w:t>Pages translated : 5</w:t>
      </w:r>
    </w:p>
    <w:p/>
    <w:p>
      <w:r>
        <w:rPr>
          <w:b/>
        </w:rPr>
        <w:t>[Pages 1–3]</w:t>
      </w:r>
    </w:p>
    <w:p>
      <w:r>
        <w:t xml:space="preserve">FRENCH REPUBLIC  </w:t>
        <w:br/>
        <w:t xml:space="preserve">Decision No. 17-DCC-14 of February 3, 2017  </w:t>
        <w:br/>
        <w:t xml:space="preserve">regarding the joint control by Mr. and Mrs. Zouari alongside  </w:t>
        <w:br/>
        <w:t xml:space="preserve">the Casino group of 21 retail stores  </w:t>
        <w:br/>
        <w:t xml:space="preserve">with a focus on food distribution  </w:t>
        <w:br/>
        <w:t xml:space="preserve">The Competition Authority,  </w:t>
        <w:br/>
        <w:t xml:space="preserve">Having regard to the notification file submitted in full to the merger service on January 3, 2017,  </w:t>
        <w:br/>
        <w:t xml:space="preserve">regarding the joint control by Mr. and Mrs. Zouari of 21 retail stores with a focus on food distribution, formalized by a memorandum of understanding dated November 15,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Casino group, a French player in predominantly food distribution, manages a network of over 14,000 stores (hypermarkets, supermarkets, convenience stores, discount stores) under brands including Franprix, Géant Casino, Casino Supermarché, Petit Casino, Spar, Vival, Monoprix, and Leader Price. The group is also present in the online distribution sector of non-food products under the brand Cdiscount.  </w:t>
        <w:br/>
        <w:t xml:space="preserve">2. The Casino group is composed of several subsidiaries, including the companies Distribution Casino France (hereinafter, "DCF") and Franprix Leader Price Holding (hereinafter, "FLPH"). DCF is a simplified joint-stock company that holds all hypermarket, supermarket, and small retail activities of the Casino group in France, except for the points of sale operated under the Monoprix brands. It particularly manages the activities under the Casino brands (Géant, Casino Supermarché, Casino Shop, Petit Casino) and the group's convenience brands (Spar, Vival). The Casino group is controlled by the company Euris, which is itself controlled by Mr. Jean-Charles Naouri.  </w:t>
        <w:br/>
        <w:t xml:space="preserve">3. The Zouari family exclusively or jointly with the Casino group controls several companies operating together several dozen retail businesses with a focus on food distribution under the Monop’, Franprix, and Leader Price brands.  </w:t>
        <w:br/>
        <w:t xml:space="preserve">4. The targets of the operation are 21 retail stores with a focus on food distribution operated under the Casino Supermarché and Hyper Casino brands, with a surface area between 849 and 2,753 m², currently exclusively controlled by the Casino group through its subsidiary DCF1.  </w:t>
        <w:br/>
        <w:t xml:space="preserve">5. Under the terms of the agreement concluded between the Casino group and Mr. and Mrs. Zouari on November 15, 2016, the operation consists of the transfer by DCF of the 21 target stores to the company HoldCo. The capital of the company HoldCo will be held at […]% by the Zouari family and […]% by DCF. HoldCo will have a supervisory board composed of three members, two of whom will be appointed by the Zouari family. The supervisory board will adopt its decisions, particularly regarding the annual budget and the transfer, opening, and closing of stores, by simple majority. However, DCF will have a veto right over any change of brand of the target stores, as well as a right to information, a right to audit, and a right to buy back the shares of HoldCo's operational subsidiaries. DCF will therefore exercise joint control over HoldCo alongside the Zouari family.  </w:t>
        <w:br/>
        <w:t xml:space="preserve">6. As it results in the joint control of the 21 target stores by Mr. and Mrs. Zouari and the Casino group, the notified operation constitutes a concentration within the meaning of Article L. 430-1 of the Commercial Code.  </w:t>
        <w:br/>
        <w:t xml:space="preserve">7. The concerned companies operate several retail stores and together achieve a total worldwide turnover of over 75 million euros (Casino: 46.15 billion euros for the fiscal year ending December 31, 2015; Mr. and Mrs. Zouari: […] euros of turnover for the fiscal year ending December 31, 2015). The concerned companies achieve in France in the retail sector a turnover exceeding 15 million euros (Casino: 18.9 billion euros for the fiscal year ending December 31, 2015; Mr. and Mrs. Zouari: […] euros of turnover for the fiscal year ending December 31, 2015). Given these turnover figures, the thresholds set out in Article 1, paragraph 2, a) and b) of Council Regulation (EC) No. 139/2004 of January 20, 2004 are met. However, since each of the concerned companies generates more than two-thirds of its turnover in the European Union in France, the operation does not fall under the jurisdiction of the European Commission.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1 These stores are located in Millau (12), Brive-la-Gaillarde (19), Sarlat-la-Canéda (24), Landivisiau (29), Blagnac (31), Arcachon (33), Castelnau-de-Medoc (33), Montussan (33), Le Rheu (35), Souillac (46), Agen (47), La Gacilly (56), Malestroit (56), Ploemeur (56), Plouay (56), Latour-Bas-Elne (66), Perpignan (66) (2 points of sale), Pompaire (79), Albi (81), Moissac (82). They are currently under the exclusive control of Casino.  </w:t>
        <w:br/>
        <w:t>2</w:t>
      </w:r>
    </w:p>
    <w:p>
      <w:r>
        <w:t xml:space="preserve">II. Delimitation of Relevant Markets  </w:t>
        <w:br/>
        <w:t xml:space="preserve">8. According to the consistent practice of national2 and European3 competition authorities, two categories of markets can be delineated in the predominantly food distribution sector: on the one hand, downstream markets, of local dimension, which bring together retail businesses and consumers for the sale of consumer goods, and on the other hand, upstream supply markets where businesses as buyers interact with product manufacturers, of national dimension.  </w:t>
        <w:br/>
        <w:t xml:space="preserve">A. UPSTREAM SUPPLY MARKETS  </w:t>
        <w:br/>
        <w:t xml:space="preserve">9. Regarding supply markets, the European Commission has recognized the existence of markets of national dimension by major product groups, a delineation followed by national authorities4.  </w:t>
        <w:br/>
        <w:t xml:space="preserve">10. There is no need to challenge this delineation in the context of the present operation.  </w:t>
        <w:br/>
        <w:t xml:space="preserve">B. DOWNSTREAM DISTRIBUTION MARKETS  </w:t>
        <w:br/>
        <w:t xml:space="preserve">1. SERVICE MARKETS  </w:t>
        <w:br/>
        <w:t xml:space="preserve">11.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(with a legal sales area exceeding 2,500 m²), (ii) supermarkets (food-dominant stores with a sales area of less than 2,500 m² and more than 400 m²), (iii) specialized commerce, (iv) small retail businesses (less than 400 m²), (v) maxi discount stores, (vi) mail order sales.  </w:t>
        <w:br/>
        <w:t xml:space="preserve">12. Within small retail businesses5, small self-service stores that offer a narrow assortment of everyday products (with a surface area of less than 120 m²) and convenience stores whose product offering is somewhat broader (with a surface area between 120 and 400 m²) are distinguished.  </w:t>
        <w:br/>
        <w:t xml:space="preserve">2 See in particular the decision of the Competition Authority No. 12-DCC-48 of April 6, 2012, regarding the exclusive control of the company Sofides by the company ITM Entreprises, and decision No. 12-DCC-125 of August 27, 2012, regarding the joint control of 28 retail stores with a focus on food distribution by the Union of Cooperators of Alsace and the Association of E. Leclerc Distribution Centers. See also the decision of the Competition Authority No. 14-DCC-173.  </w:t>
        <w:br/>
        <w:t xml:space="preserve">3 See in particular the decisions of the European Commission M. 1221, Rewe / Meinl of February 3, 1999, and M. 1684, Carrefour/ Promodès of January 25, 2000.  </w:t>
        <w:br/>
        <w:t xml:space="preserve">4 See in particular the decisions of the minister in the sector, C.2005-98 Carrefour/ Penny Market of November 10, 2005, C.2006-15 Carrefour/ Groupe Hamon of April 14, 2006, C.2007-172 regarding the creation of the joint venture Plamidis of February 13, 2008, and C.2008-32 Carrefour/ SAGC of July 9, 2008; as well as the decisions of the Competition Authority No. 11-DCC-45 and 11-DCC-04 mentioned above.  </w:t>
        <w:br/>
        <w:t xml:space="preserve">5 See the opinion of the Competition Council No. 97-A-04 of January 21, 1997, regarding various issues concerning the concentration of distribution and the decision of the Competition Authority No. 10-D-08 of March 3, 2010, regarding practices implemented by Carrefour in the sector of general proximity food commerce.  </w:t>
        <w:br/>
        <w:t>3</w:t>
      </w:r>
    </w:p>
    <w:p>
      <w:r>
        <w:rPr>
          <w:b/>
        </w:rPr>
        <w:t>[Pages 4–5]</w:t>
      </w:r>
    </w:p>
    <w:p>
      <w:r>
        <w:t>13. The competition authorities consider that, while each category of store retains its specificity, there is asymmetric competition between some of these categories. They thus distinguish:</w:t>
        <w:br/>
        <w:t>- a market comprising only hypermarkets; and</w:t>
        <w:br/>
        <w:t>- a market comprising supermarkets and equivalent forms of commerce (hypermarkets, hard-discount stores, and popular stores) excluding small retail businesses (less than 400 m²).</w:t>
      </w:r>
    </w:p>
    <w:p>
      <w:r>
        <w:t>14. Regarding small retail businesses, decision-making practice has also highlighted the existence of an asymmetric competitive relationship with other forms of commerce. In certain geographical configurations, a hypermarket, supermarket, or hard-discount store of more than 400 m² can typically be used by some consumers as a convenience store, substituting for a small grocery store, whereas the reverse is not true. Thus, while hypermarkets and supermarkets exert strong competition on small retail businesses (less than 400 m²), the reverse is almost never verified. Convenience stores therefore face competition from other convenience stores as well as from supermarkets, discount stores, and hypermarkets.</w:t>
      </w:r>
    </w:p>
    <w:p>
      <w:r>
        <w:t>15. In this case, the operation in question concerns 21 predominantly food stores, of which 16 have a sales area between 400 m² and 2,500 m² and 5 predominantly food stores have a sales area of 2,500 m² or more located in the provinces.</w:t>
      </w:r>
    </w:p>
    <w:p>
      <w:r>
        <w:t>2. GEOGRAPHICAL MARKETS</w:t>
        <w:br/>
        <w:t>16. Regarding supermarkets, it follows from decision-making practice that the conditions of competition are generally assessed over an area where consumer demand and the supply of supermarkets and equivalent forms of commerce are located within a 15-minute drive.</w:t>
      </w:r>
    </w:p>
    <w:p>
      <w:r>
        <w:t>17. Regarding hypermarkets, decision-making practice has specified that the conditions of competition are assessed over an area where consumer demand and the supply of hypermarkets to which they have access within a 30-minute drive are substitutable from their perspective.</w:t>
      </w:r>
    </w:p>
    <w:p>
      <w:r>
        <w:t>18. In this case, the operation concerns: (i) 16 sales outlets with a sales area of less than 2,500 m² and more than 400 m² and (ii) 5 sales outlets with a sales area of more than 2,500 m² located in the provinces (excluding large cities).</w:t>
      </w:r>
    </w:p>
    <w:p>
      <w:r>
        <w:t>19. There is no need to challenge these delimitations within the framework of the present operation.</w:t>
      </w:r>
    </w:p>
    <w:p>
      <w:r>
        <w:t>6 See in particular the decisions of the Competition Authority No. 11-DCC-04 of January 28, 2011, regarding the exclusive control of the company Mafical by the company ITM Alimentaire Région parisienne; decision No. 11-DCC-05 of January 17, 2011, regarding the exclusive control of the company Distri Sud-Ouest by the company Retail Leader Price Investissement; decision No. 14-DCC-11 of January 28, 2014, regarding the control by the company Franprix Leader Price Holding of 47 predominantly food retail stores Le Mutant and 22 butcher shop businesses and decisions No. 12-DCC-63 and No. 14-DCC-173 mentioned above.</w:t>
      </w:r>
    </w:p>
    <w:p>
      <w:r>
        <w:t>III. Competitive Analysis</w:t>
        <w:br/>
        <w:t>A. UPSTREAM SUPPLY MARKET</w:t>
        <w:br/>
        <w:t>20. Regarding upstream supply markets, it should be noted that the operation is limited to 21 stores already under the Casino group brand and already sourcing from the Casino group. The acquisition is therefore not likely to strengthen the purchasing power of the Casino group, across all products as well as by major product groups.</w:t>
      </w:r>
    </w:p>
    <w:p>
      <w:r>
        <w:t>21. Consequently, the operation is not likely to harm competition in the upstream distribution market.</w:t>
      </w:r>
    </w:p>
    <w:p>
      <w:r>
        <w:t>B. DOWNSTREAM FOOD DISTRIBUTION MARKET</w:t>
        <w:br/>
        <w:t>22. The operation involves an overlap of activity with the stores controlled by Mr. and Mrs. Zouari in the following four catchment areas: Blagnac (1,205 m²), Montussan (2,000 m²), Perpignan avenue Georges Guynemer (956 m²), and Perpignan Boulevard Felix Mercader (1,386 m²). Across all the affected areas, the market share of stores operated under the Casino group brand will remain below [20-30]%. The parties will also continue to face competition from the main national food distribution brands (notably Leclerc, Système U, Carrefour, and Intermarché).</w:t>
      </w:r>
    </w:p>
    <w:p>
      <w:r>
        <w:t>23. In light of the above, the operation is not likely to harm competition.</w:t>
      </w:r>
    </w:p>
    <w:p>
      <w:r>
        <w:t>DECIDES</w:t>
        <w:br/>
        <w:t>Sole Article: The operation notified under number 16-265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